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D8F85" w14:textId="77777777" w:rsidR="00CF2C65" w:rsidRDefault="00EF3343">
      <w:pPr>
        <w:jc w:val="center"/>
      </w:pPr>
      <w:r>
        <w:rPr>
          <w:b/>
          <w:color w:val="0F4C81"/>
          <w:sz w:val="56"/>
        </w:rPr>
        <w:t>INTERCEPTED</w:t>
      </w:r>
      <w:r>
        <w:rPr>
          <w:b/>
          <w:color w:val="0F4C81"/>
          <w:sz w:val="56"/>
        </w:rPr>
        <w:br/>
      </w:r>
    </w:p>
    <w:p w14:paraId="7857AD11" w14:textId="77777777" w:rsidR="00CF2C65" w:rsidRDefault="00EF3343">
      <w:pPr>
        <w:jc w:val="center"/>
      </w:pPr>
      <w:r>
        <w:rPr>
          <w:b/>
          <w:color w:val="0F4C81"/>
          <w:sz w:val="48"/>
        </w:rPr>
        <w:t>Multi-Agency Toolkit</w:t>
      </w:r>
      <w:r>
        <w:rPr>
          <w:b/>
          <w:color w:val="0F4C81"/>
          <w:sz w:val="48"/>
        </w:rPr>
        <w:br/>
      </w:r>
      <w:r>
        <w:rPr>
          <w:b/>
          <w:color w:val="2F5597"/>
          <w:sz w:val="36"/>
        </w:rPr>
        <w:t>Draft Deliverable D4.1</w:t>
      </w:r>
      <w:r>
        <w:rPr>
          <w:b/>
          <w:color w:val="2F5597"/>
          <w:sz w:val="36"/>
        </w:rPr>
        <w:br/>
      </w:r>
      <w:r>
        <w:br/>
      </w:r>
      <w:r>
        <w:t>Practical guidance for prevention, detection, investigation, referral, victim protection, and counter-campaigning against trafficking in human beings in digital and hybrid environments.</w:t>
      </w:r>
    </w:p>
    <w:p w14:paraId="56975784" w14:textId="77777777" w:rsidR="00CF2C65" w:rsidRDefault="00CF2C65"/>
    <w:p w14:paraId="070543FD" w14:textId="77777777" w:rsidR="00CF2C65" w:rsidRDefault="00CF2C65"/>
    <w:p w14:paraId="6CB5171A" w14:textId="77777777" w:rsidR="00CF2C65" w:rsidRDefault="00EF3343">
      <w:r>
        <w:br w:type="page"/>
      </w:r>
    </w:p>
    <w:p w14:paraId="7A4440B8" w14:textId="77777777" w:rsidR="00CF2C65" w:rsidRDefault="00EF3343">
      <w:pPr>
        <w:pStyle w:val="Titolo1"/>
      </w:pPr>
      <w:bookmarkStart w:id="0" w:name="_Toc229487742"/>
      <w:r>
        <w:lastRenderedPageBreak/>
        <w:t>Table of Contents</w:t>
      </w:r>
      <w:bookmarkEnd w:id="0"/>
    </w:p>
    <w:p w14:paraId="5AEBCC69" w14:textId="31B4AEB4" w:rsidR="00BF612E" w:rsidRDefault="00EF3343">
      <w:pPr>
        <w:pStyle w:val="Sommario1"/>
        <w:tabs>
          <w:tab w:val="right" w:leader="dot" w:pos="9638"/>
        </w:tabs>
        <w:rPr>
          <w:noProof/>
        </w:rPr>
      </w:pPr>
      <w:r>
        <w:fldChar w:fldCharType="begin"/>
      </w:r>
      <w:r>
        <w:instrText>TOC \o "1-3" \h \z \u</w:instrText>
      </w:r>
      <w:r>
        <w:fldChar w:fldCharType="separate"/>
      </w:r>
      <w:hyperlink w:anchor="_Toc229487742" w:history="1">
        <w:r w:rsidR="00BF612E" w:rsidRPr="00883457">
          <w:rPr>
            <w:rStyle w:val="Collegamentoipertestuale"/>
            <w:noProof/>
          </w:rPr>
          <w:t>Table of Contents</w:t>
        </w:r>
        <w:r w:rsidR="00BF612E">
          <w:rPr>
            <w:noProof/>
            <w:webHidden/>
          </w:rPr>
          <w:tab/>
        </w:r>
        <w:r w:rsidR="00BF612E">
          <w:rPr>
            <w:noProof/>
            <w:webHidden/>
          </w:rPr>
          <w:fldChar w:fldCharType="begin"/>
        </w:r>
        <w:r w:rsidR="00BF612E">
          <w:rPr>
            <w:noProof/>
            <w:webHidden/>
          </w:rPr>
          <w:instrText xml:space="preserve"> PAGEREF _Toc229487742 \h </w:instrText>
        </w:r>
        <w:r w:rsidR="00BF612E">
          <w:rPr>
            <w:noProof/>
            <w:webHidden/>
          </w:rPr>
        </w:r>
        <w:r w:rsidR="00BF612E">
          <w:rPr>
            <w:noProof/>
            <w:webHidden/>
          </w:rPr>
          <w:fldChar w:fldCharType="separate"/>
        </w:r>
        <w:r w:rsidR="00BF612E">
          <w:rPr>
            <w:noProof/>
            <w:webHidden/>
          </w:rPr>
          <w:t>2</w:t>
        </w:r>
        <w:r w:rsidR="00BF612E">
          <w:rPr>
            <w:noProof/>
            <w:webHidden/>
          </w:rPr>
          <w:fldChar w:fldCharType="end"/>
        </w:r>
      </w:hyperlink>
    </w:p>
    <w:p w14:paraId="230DCD42" w14:textId="1E7CD641" w:rsidR="00BF612E" w:rsidRDefault="00BF612E">
      <w:pPr>
        <w:pStyle w:val="Sommario1"/>
        <w:tabs>
          <w:tab w:val="right" w:leader="dot" w:pos="9638"/>
        </w:tabs>
        <w:rPr>
          <w:noProof/>
        </w:rPr>
      </w:pPr>
      <w:hyperlink w:anchor="_Toc229487743" w:history="1">
        <w:r w:rsidRPr="00883457">
          <w:rPr>
            <w:rStyle w:val="Collegamentoipertestuale"/>
            <w:noProof/>
          </w:rPr>
          <w:t>Executive Summary</w:t>
        </w:r>
        <w:r>
          <w:rPr>
            <w:noProof/>
            <w:webHidden/>
          </w:rPr>
          <w:tab/>
        </w:r>
        <w:r>
          <w:rPr>
            <w:noProof/>
            <w:webHidden/>
          </w:rPr>
          <w:fldChar w:fldCharType="begin"/>
        </w:r>
        <w:r>
          <w:rPr>
            <w:noProof/>
            <w:webHidden/>
          </w:rPr>
          <w:instrText xml:space="preserve"> PAGEREF _Toc229487743 \h </w:instrText>
        </w:r>
        <w:r>
          <w:rPr>
            <w:noProof/>
            <w:webHidden/>
          </w:rPr>
        </w:r>
        <w:r>
          <w:rPr>
            <w:noProof/>
            <w:webHidden/>
          </w:rPr>
          <w:fldChar w:fldCharType="separate"/>
        </w:r>
        <w:r>
          <w:rPr>
            <w:noProof/>
            <w:webHidden/>
          </w:rPr>
          <w:t>4</w:t>
        </w:r>
        <w:r>
          <w:rPr>
            <w:noProof/>
            <w:webHidden/>
          </w:rPr>
          <w:fldChar w:fldCharType="end"/>
        </w:r>
      </w:hyperlink>
    </w:p>
    <w:p w14:paraId="63883324" w14:textId="0F5AA4DA" w:rsidR="00BF612E" w:rsidRDefault="00BF612E">
      <w:pPr>
        <w:pStyle w:val="Sommario1"/>
        <w:tabs>
          <w:tab w:val="right" w:leader="dot" w:pos="9638"/>
        </w:tabs>
        <w:rPr>
          <w:noProof/>
        </w:rPr>
      </w:pPr>
      <w:hyperlink w:anchor="_Toc229487744" w:history="1">
        <w:r w:rsidRPr="00883457">
          <w:rPr>
            <w:rStyle w:val="Collegamentoipertestuale"/>
            <w:noProof/>
          </w:rPr>
          <w:t>References and Source Base Used for This Draft</w:t>
        </w:r>
        <w:r>
          <w:rPr>
            <w:noProof/>
            <w:webHidden/>
          </w:rPr>
          <w:tab/>
        </w:r>
        <w:r>
          <w:rPr>
            <w:noProof/>
            <w:webHidden/>
          </w:rPr>
          <w:fldChar w:fldCharType="begin"/>
        </w:r>
        <w:r>
          <w:rPr>
            <w:noProof/>
            <w:webHidden/>
          </w:rPr>
          <w:instrText xml:space="preserve"> PAGEREF _Toc229487744 \h </w:instrText>
        </w:r>
        <w:r>
          <w:rPr>
            <w:noProof/>
            <w:webHidden/>
          </w:rPr>
        </w:r>
        <w:r>
          <w:rPr>
            <w:noProof/>
            <w:webHidden/>
          </w:rPr>
          <w:fldChar w:fldCharType="separate"/>
        </w:r>
        <w:r>
          <w:rPr>
            <w:noProof/>
            <w:webHidden/>
          </w:rPr>
          <w:t>5</w:t>
        </w:r>
        <w:r>
          <w:rPr>
            <w:noProof/>
            <w:webHidden/>
          </w:rPr>
          <w:fldChar w:fldCharType="end"/>
        </w:r>
      </w:hyperlink>
    </w:p>
    <w:p w14:paraId="7B1EE7EE" w14:textId="0D9AADBA" w:rsidR="00BF612E" w:rsidRDefault="00BF612E">
      <w:pPr>
        <w:pStyle w:val="Sommario1"/>
        <w:tabs>
          <w:tab w:val="right" w:leader="dot" w:pos="9638"/>
        </w:tabs>
        <w:rPr>
          <w:noProof/>
        </w:rPr>
      </w:pPr>
      <w:hyperlink w:anchor="_Toc229487745" w:history="1">
        <w:r w:rsidRPr="00883457">
          <w:rPr>
            <w:rStyle w:val="Collegamentoipertestuale"/>
            <w:noProof/>
          </w:rPr>
          <w:t>1. Purpose, Scope, and Users of the Toolkit</w:t>
        </w:r>
        <w:r>
          <w:rPr>
            <w:noProof/>
            <w:webHidden/>
          </w:rPr>
          <w:tab/>
        </w:r>
        <w:r>
          <w:rPr>
            <w:noProof/>
            <w:webHidden/>
          </w:rPr>
          <w:fldChar w:fldCharType="begin"/>
        </w:r>
        <w:r>
          <w:rPr>
            <w:noProof/>
            <w:webHidden/>
          </w:rPr>
          <w:instrText xml:space="preserve"> PAGEREF _Toc229487745 \h </w:instrText>
        </w:r>
        <w:r>
          <w:rPr>
            <w:noProof/>
            <w:webHidden/>
          </w:rPr>
        </w:r>
        <w:r>
          <w:rPr>
            <w:noProof/>
            <w:webHidden/>
          </w:rPr>
          <w:fldChar w:fldCharType="separate"/>
        </w:r>
        <w:r>
          <w:rPr>
            <w:noProof/>
            <w:webHidden/>
          </w:rPr>
          <w:t>5</w:t>
        </w:r>
        <w:r>
          <w:rPr>
            <w:noProof/>
            <w:webHidden/>
          </w:rPr>
          <w:fldChar w:fldCharType="end"/>
        </w:r>
      </w:hyperlink>
    </w:p>
    <w:p w14:paraId="6BB49F54" w14:textId="71DFD8FE" w:rsidR="00BF612E" w:rsidRDefault="00BF612E">
      <w:pPr>
        <w:pStyle w:val="Sommario1"/>
        <w:tabs>
          <w:tab w:val="right" w:leader="dot" w:pos="9638"/>
        </w:tabs>
        <w:rPr>
          <w:noProof/>
        </w:rPr>
      </w:pPr>
      <w:hyperlink w:anchor="_Toc229487746" w:history="1">
        <w:r w:rsidRPr="00883457">
          <w:rPr>
            <w:rStyle w:val="Collegamentoipertestuale"/>
            <w:noProof/>
          </w:rPr>
          <w:t>2. Strategic Context for INTERCEPTED</w:t>
        </w:r>
        <w:r>
          <w:rPr>
            <w:noProof/>
            <w:webHidden/>
          </w:rPr>
          <w:tab/>
        </w:r>
        <w:r>
          <w:rPr>
            <w:noProof/>
            <w:webHidden/>
          </w:rPr>
          <w:fldChar w:fldCharType="begin"/>
        </w:r>
        <w:r>
          <w:rPr>
            <w:noProof/>
            <w:webHidden/>
          </w:rPr>
          <w:instrText xml:space="preserve"> PAGEREF _Toc229487746 \h </w:instrText>
        </w:r>
        <w:r>
          <w:rPr>
            <w:noProof/>
            <w:webHidden/>
          </w:rPr>
        </w:r>
        <w:r>
          <w:rPr>
            <w:noProof/>
            <w:webHidden/>
          </w:rPr>
          <w:fldChar w:fldCharType="separate"/>
        </w:r>
        <w:r>
          <w:rPr>
            <w:noProof/>
            <w:webHidden/>
          </w:rPr>
          <w:t>6</w:t>
        </w:r>
        <w:r>
          <w:rPr>
            <w:noProof/>
            <w:webHidden/>
          </w:rPr>
          <w:fldChar w:fldCharType="end"/>
        </w:r>
      </w:hyperlink>
    </w:p>
    <w:p w14:paraId="0B513BC0" w14:textId="65025075" w:rsidR="00BF612E" w:rsidRDefault="00BF612E">
      <w:pPr>
        <w:pStyle w:val="Sommario1"/>
        <w:tabs>
          <w:tab w:val="right" w:leader="dot" w:pos="9638"/>
        </w:tabs>
        <w:rPr>
          <w:noProof/>
        </w:rPr>
      </w:pPr>
      <w:hyperlink w:anchor="_Toc229487747" w:history="1">
        <w:r w:rsidRPr="00883457">
          <w:rPr>
            <w:rStyle w:val="Collegamentoipertestuale"/>
            <w:noProof/>
          </w:rPr>
          <w:t>3. Design Principles for a Multi-Agency Anti-Trafficking Response</w:t>
        </w:r>
        <w:r>
          <w:rPr>
            <w:noProof/>
            <w:webHidden/>
          </w:rPr>
          <w:tab/>
        </w:r>
        <w:r>
          <w:rPr>
            <w:noProof/>
            <w:webHidden/>
          </w:rPr>
          <w:fldChar w:fldCharType="begin"/>
        </w:r>
        <w:r>
          <w:rPr>
            <w:noProof/>
            <w:webHidden/>
          </w:rPr>
          <w:instrText xml:space="preserve"> PAGEREF _Toc229487747 \h </w:instrText>
        </w:r>
        <w:r>
          <w:rPr>
            <w:noProof/>
            <w:webHidden/>
          </w:rPr>
        </w:r>
        <w:r>
          <w:rPr>
            <w:noProof/>
            <w:webHidden/>
          </w:rPr>
          <w:fldChar w:fldCharType="separate"/>
        </w:r>
        <w:r>
          <w:rPr>
            <w:noProof/>
            <w:webHidden/>
          </w:rPr>
          <w:t>7</w:t>
        </w:r>
        <w:r>
          <w:rPr>
            <w:noProof/>
            <w:webHidden/>
          </w:rPr>
          <w:fldChar w:fldCharType="end"/>
        </w:r>
      </w:hyperlink>
    </w:p>
    <w:p w14:paraId="466DED52" w14:textId="2F5EDFCD" w:rsidR="00BF612E" w:rsidRDefault="00BF612E">
      <w:pPr>
        <w:pStyle w:val="Sommario1"/>
        <w:tabs>
          <w:tab w:val="right" w:leader="dot" w:pos="9638"/>
        </w:tabs>
        <w:rPr>
          <w:noProof/>
        </w:rPr>
      </w:pPr>
      <w:hyperlink w:anchor="_Toc229487748" w:history="1">
        <w:r w:rsidRPr="00883457">
          <w:rPr>
            <w:rStyle w:val="Collegamentoipertestuale"/>
            <w:noProof/>
          </w:rPr>
          <w:t>4. Governance Model and Role Allocation</w:t>
        </w:r>
        <w:r>
          <w:rPr>
            <w:noProof/>
            <w:webHidden/>
          </w:rPr>
          <w:tab/>
        </w:r>
        <w:r>
          <w:rPr>
            <w:noProof/>
            <w:webHidden/>
          </w:rPr>
          <w:fldChar w:fldCharType="begin"/>
        </w:r>
        <w:r>
          <w:rPr>
            <w:noProof/>
            <w:webHidden/>
          </w:rPr>
          <w:instrText xml:space="preserve"> PAGEREF _Toc229487748 \h </w:instrText>
        </w:r>
        <w:r>
          <w:rPr>
            <w:noProof/>
            <w:webHidden/>
          </w:rPr>
        </w:r>
        <w:r>
          <w:rPr>
            <w:noProof/>
            <w:webHidden/>
          </w:rPr>
          <w:fldChar w:fldCharType="separate"/>
        </w:r>
        <w:r>
          <w:rPr>
            <w:noProof/>
            <w:webHidden/>
          </w:rPr>
          <w:t>8</w:t>
        </w:r>
        <w:r>
          <w:rPr>
            <w:noProof/>
            <w:webHidden/>
          </w:rPr>
          <w:fldChar w:fldCharType="end"/>
        </w:r>
      </w:hyperlink>
    </w:p>
    <w:p w14:paraId="023641F4" w14:textId="0C436C0F" w:rsidR="00BF612E" w:rsidRDefault="00BF612E">
      <w:pPr>
        <w:pStyle w:val="Sommario1"/>
        <w:tabs>
          <w:tab w:val="right" w:leader="dot" w:pos="9638"/>
        </w:tabs>
        <w:rPr>
          <w:noProof/>
        </w:rPr>
      </w:pPr>
      <w:hyperlink w:anchor="_Toc229487749" w:history="1">
        <w:r w:rsidRPr="00883457">
          <w:rPr>
            <w:rStyle w:val="Collegamentoipertestuale"/>
            <w:noProof/>
          </w:rPr>
          <w:t>5. The Operating Environment: How Trafficking Uses Digital Space</w:t>
        </w:r>
        <w:r>
          <w:rPr>
            <w:noProof/>
            <w:webHidden/>
          </w:rPr>
          <w:tab/>
        </w:r>
        <w:r>
          <w:rPr>
            <w:noProof/>
            <w:webHidden/>
          </w:rPr>
          <w:fldChar w:fldCharType="begin"/>
        </w:r>
        <w:r>
          <w:rPr>
            <w:noProof/>
            <w:webHidden/>
          </w:rPr>
          <w:instrText xml:space="preserve"> PAGEREF _Toc229487749 \h </w:instrText>
        </w:r>
        <w:r>
          <w:rPr>
            <w:noProof/>
            <w:webHidden/>
          </w:rPr>
        </w:r>
        <w:r>
          <w:rPr>
            <w:noProof/>
            <w:webHidden/>
          </w:rPr>
          <w:fldChar w:fldCharType="separate"/>
        </w:r>
        <w:r>
          <w:rPr>
            <w:noProof/>
            <w:webHidden/>
          </w:rPr>
          <w:t>9</w:t>
        </w:r>
        <w:r>
          <w:rPr>
            <w:noProof/>
            <w:webHidden/>
          </w:rPr>
          <w:fldChar w:fldCharType="end"/>
        </w:r>
      </w:hyperlink>
    </w:p>
    <w:p w14:paraId="768CD4FA" w14:textId="262A09C2" w:rsidR="00BF612E" w:rsidRDefault="00BF612E">
      <w:pPr>
        <w:pStyle w:val="Sommario1"/>
        <w:tabs>
          <w:tab w:val="right" w:leader="dot" w:pos="9638"/>
        </w:tabs>
        <w:rPr>
          <w:noProof/>
        </w:rPr>
      </w:pPr>
      <w:hyperlink w:anchor="_Toc229487750" w:history="1">
        <w:r w:rsidRPr="00883457">
          <w:rPr>
            <w:rStyle w:val="Collegamentoipertestuale"/>
            <w:noProof/>
          </w:rPr>
          <w:t>6. Core Multi-Agency Workflow from Signal to Outcome</w:t>
        </w:r>
        <w:r>
          <w:rPr>
            <w:noProof/>
            <w:webHidden/>
          </w:rPr>
          <w:tab/>
        </w:r>
        <w:r>
          <w:rPr>
            <w:noProof/>
            <w:webHidden/>
          </w:rPr>
          <w:fldChar w:fldCharType="begin"/>
        </w:r>
        <w:r>
          <w:rPr>
            <w:noProof/>
            <w:webHidden/>
          </w:rPr>
          <w:instrText xml:space="preserve"> PAGEREF _Toc229487750 \h </w:instrText>
        </w:r>
        <w:r>
          <w:rPr>
            <w:noProof/>
            <w:webHidden/>
          </w:rPr>
        </w:r>
        <w:r>
          <w:rPr>
            <w:noProof/>
            <w:webHidden/>
          </w:rPr>
          <w:fldChar w:fldCharType="separate"/>
        </w:r>
        <w:r>
          <w:rPr>
            <w:noProof/>
            <w:webHidden/>
          </w:rPr>
          <w:t>10</w:t>
        </w:r>
        <w:r>
          <w:rPr>
            <w:noProof/>
            <w:webHidden/>
          </w:rPr>
          <w:fldChar w:fldCharType="end"/>
        </w:r>
      </w:hyperlink>
    </w:p>
    <w:p w14:paraId="13D36287" w14:textId="677DB38E" w:rsidR="00BF612E" w:rsidRDefault="00BF612E">
      <w:pPr>
        <w:pStyle w:val="Sommario1"/>
        <w:tabs>
          <w:tab w:val="right" w:leader="dot" w:pos="9638"/>
        </w:tabs>
        <w:rPr>
          <w:noProof/>
        </w:rPr>
      </w:pPr>
      <w:hyperlink w:anchor="_Toc229487751" w:history="1">
        <w:r w:rsidRPr="00883457">
          <w:rPr>
            <w:rStyle w:val="Collegamentoipertestuale"/>
            <w:noProof/>
          </w:rPr>
          <w:t>7. Indicators and Risk Flags for Online Recruitment</w:t>
        </w:r>
        <w:r>
          <w:rPr>
            <w:noProof/>
            <w:webHidden/>
          </w:rPr>
          <w:tab/>
        </w:r>
        <w:r>
          <w:rPr>
            <w:noProof/>
            <w:webHidden/>
          </w:rPr>
          <w:fldChar w:fldCharType="begin"/>
        </w:r>
        <w:r>
          <w:rPr>
            <w:noProof/>
            <w:webHidden/>
          </w:rPr>
          <w:instrText xml:space="preserve"> PAGEREF _Toc229487751 \h </w:instrText>
        </w:r>
        <w:r>
          <w:rPr>
            <w:noProof/>
            <w:webHidden/>
          </w:rPr>
        </w:r>
        <w:r>
          <w:rPr>
            <w:noProof/>
            <w:webHidden/>
          </w:rPr>
          <w:fldChar w:fldCharType="separate"/>
        </w:r>
        <w:r>
          <w:rPr>
            <w:noProof/>
            <w:webHidden/>
          </w:rPr>
          <w:t>11</w:t>
        </w:r>
        <w:r>
          <w:rPr>
            <w:noProof/>
            <w:webHidden/>
          </w:rPr>
          <w:fldChar w:fldCharType="end"/>
        </w:r>
      </w:hyperlink>
    </w:p>
    <w:p w14:paraId="2F778838" w14:textId="26132ED0" w:rsidR="00BF612E" w:rsidRDefault="00BF612E">
      <w:pPr>
        <w:pStyle w:val="Sommario1"/>
        <w:tabs>
          <w:tab w:val="right" w:leader="dot" w:pos="9638"/>
        </w:tabs>
        <w:rPr>
          <w:noProof/>
        </w:rPr>
      </w:pPr>
      <w:hyperlink w:anchor="_Toc229487752" w:history="1">
        <w:r w:rsidRPr="00883457">
          <w:rPr>
            <w:rStyle w:val="Collegamentoipertestuale"/>
            <w:noProof/>
          </w:rPr>
          <w:t>8. Indicators and Risk Flags for Online Advertisement and Exploitation</w:t>
        </w:r>
        <w:r>
          <w:rPr>
            <w:noProof/>
            <w:webHidden/>
          </w:rPr>
          <w:tab/>
        </w:r>
        <w:r>
          <w:rPr>
            <w:noProof/>
            <w:webHidden/>
          </w:rPr>
          <w:fldChar w:fldCharType="begin"/>
        </w:r>
        <w:r>
          <w:rPr>
            <w:noProof/>
            <w:webHidden/>
          </w:rPr>
          <w:instrText xml:space="preserve"> PAGEREF _Toc229487752 \h </w:instrText>
        </w:r>
        <w:r>
          <w:rPr>
            <w:noProof/>
            <w:webHidden/>
          </w:rPr>
        </w:r>
        <w:r>
          <w:rPr>
            <w:noProof/>
            <w:webHidden/>
          </w:rPr>
          <w:fldChar w:fldCharType="separate"/>
        </w:r>
        <w:r>
          <w:rPr>
            <w:noProof/>
            <w:webHidden/>
          </w:rPr>
          <w:t>12</w:t>
        </w:r>
        <w:r>
          <w:rPr>
            <w:noProof/>
            <w:webHidden/>
          </w:rPr>
          <w:fldChar w:fldCharType="end"/>
        </w:r>
      </w:hyperlink>
    </w:p>
    <w:p w14:paraId="17B1A882" w14:textId="5D42D09F" w:rsidR="00BF612E" w:rsidRDefault="00BF612E">
      <w:pPr>
        <w:pStyle w:val="Sommario1"/>
        <w:tabs>
          <w:tab w:val="right" w:leader="dot" w:pos="9638"/>
        </w:tabs>
        <w:rPr>
          <w:noProof/>
        </w:rPr>
      </w:pPr>
      <w:hyperlink w:anchor="_Toc229487753" w:history="1">
        <w:r w:rsidRPr="00883457">
          <w:rPr>
            <w:rStyle w:val="Collegamentoipertestuale"/>
            <w:noProof/>
          </w:rPr>
          <w:t>9. The OSINT-HUMINT-SIGINT Cycle in Practice</w:t>
        </w:r>
        <w:r>
          <w:rPr>
            <w:noProof/>
            <w:webHidden/>
          </w:rPr>
          <w:tab/>
        </w:r>
        <w:r>
          <w:rPr>
            <w:noProof/>
            <w:webHidden/>
          </w:rPr>
          <w:fldChar w:fldCharType="begin"/>
        </w:r>
        <w:r>
          <w:rPr>
            <w:noProof/>
            <w:webHidden/>
          </w:rPr>
          <w:instrText xml:space="preserve"> PAGEREF _Toc229487753 \h </w:instrText>
        </w:r>
        <w:r>
          <w:rPr>
            <w:noProof/>
            <w:webHidden/>
          </w:rPr>
        </w:r>
        <w:r>
          <w:rPr>
            <w:noProof/>
            <w:webHidden/>
          </w:rPr>
          <w:fldChar w:fldCharType="separate"/>
        </w:r>
        <w:r>
          <w:rPr>
            <w:noProof/>
            <w:webHidden/>
          </w:rPr>
          <w:t>13</w:t>
        </w:r>
        <w:r>
          <w:rPr>
            <w:noProof/>
            <w:webHidden/>
          </w:rPr>
          <w:fldChar w:fldCharType="end"/>
        </w:r>
      </w:hyperlink>
    </w:p>
    <w:p w14:paraId="159A46BD" w14:textId="3E8A8E13" w:rsidR="00BF612E" w:rsidRDefault="00BF612E">
      <w:pPr>
        <w:pStyle w:val="Sommario1"/>
        <w:tabs>
          <w:tab w:val="right" w:leader="dot" w:pos="9638"/>
        </w:tabs>
        <w:rPr>
          <w:noProof/>
        </w:rPr>
      </w:pPr>
      <w:hyperlink w:anchor="_Toc229487754" w:history="1">
        <w:r w:rsidRPr="00883457">
          <w:rPr>
            <w:rStyle w:val="Collegamentoipertestuale"/>
            <w:noProof/>
          </w:rPr>
          <w:t>10. Technology and Capability Package: Turning the D1.4 Tender into Operational Use Cases</w:t>
        </w:r>
        <w:r>
          <w:rPr>
            <w:rStyle w:val="Collegamentoipertestuale"/>
            <w:noProof/>
          </w:rPr>
          <w:t xml:space="preserve">…                                                                                                                                                                              </w:t>
        </w:r>
        <w:r>
          <w:rPr>
            <w:noProof/>
            <w:webHidden/>
          </w:rPr>
          <w:t xml:space="preserve"> </w:t>
        </w:r>
        <w:r>
          <w:rPr>
            <w:noProof/>
            <w:webHidden/>
          </w:rPr>
          <w:fldChar w:fldCharType="begin"/>
        </w:r>
        <w:r>
          <w:rPr>
            <w:noProof/>
            <w:webHidden/>
          </w:rPr>
          <w:instrText xml:space="preserve"> PAGEREF _Toc229487754 \h </w:instrText>
        </w:r>
        <w:r>
          <w:rPr>
            <w:noProof/>
            <w:webHidden/>
          </w:rPr>
        </w:r>
        <w:r>
          <w:rPr>
            <w:noProof/>
            <w:webHidden/>
          </w:rPr>
          <w:fldChar w:fldCharType="separate"/>
        </w:r>
        <w:r>
          <w:rPr>
            <w:noProof/>
            <w:webHidden/>
          </w:rPr>
          <w:t>14</w:t>
        </w:r>
        <w:r>
          <w:rPr>
            <w:noProof/>
            <w:webHidden/>
          </w:rPr>
          <w:fldChar w:fldCharType="end"/>
        </w:r>
      </w:hyperlink>
    </w:p>
    <w:p w14:paraId="5A988D63" w14:textId="4001AD0C" w:rsidR="00BF612E" w:rsidRDefault="00BF612E">
      <w:pPr>
        <w:pStyle w:val="Sommario1"/>
        <w:tabs>
          <w:tab w:val="right" w:leader="dot" w:pos="9638"/>
        </w:tabs>
        <w:rPr>
          <w:noProof/>
        </w:rPr>
      </w:pPr>
      <w:hyperlink w:anchor="_Toc229487755" w:history="1">
        <w:r w:rsidRPr="00883457">
          <w:rPr>
            <w:rStyle w:val="Collegamentoipertestuale"/>
            <w:noProof/>
          </w:rPr>
          <w:t>11. Data Collection, Preservation, and Evidential Integrity</w:t>
        </w:r>
        <w:r>
          <w:rPr>
            <w:noProof/>
            <w:webHidden/>
          </w:rPr>
          <w:tab/>
        </w:r>
        <w:r>
          <w:rPr>
            <w:noProof/>
            <w:webHidden/>
          </w:rPr>
          <w:fldChar w:fldCharType="begin"/>
        </w:r>
        <w:r>
          <w:rPr>
            <w:noProof/>
            <w:webHidden/>
          </w:rPr>
          <w:instrText xml:space="preserve"> PAGEREF _Toc229487755 \h </w:instrText>
        </w:r>
        <w:r>
          <w:rPr>
            <w:noProof/>
            <w:webHidden/>
          </w:rPr>
        </w:r>
        <w:r>
          <w:rPr>
            <w:noProof/>
            <w:webHidden/>
          </w:rPr>
          <w:fldChar w:fldCharType="separate"/>
        </w:r>
        <w:r>
          <w:rPr>
            <w:noProof/>
            <w:webHidden/>
          </w:rPr>
          <w:t>15</w:t>
        </w:r>
        <w:r>
          <w:rPr>
            <w:noProof/>
            <w:webHidden/>
          </w:rPr>
          <w:fldChar w:fldCharType="end"/>
        </w:r>
      </w:hyperlink>
    </w:p>
    <w:p w14:paraId="2974E8CE" w14:textId="2C09453A" w:rsidR="00BF612E" w:rsidRDefault="00BF612E">
      <w:pPr>
        <w:pStyle w:val="Sommario1"/>
        <w:tabs>
          <w:tab w:val="right" w:leader="dot" w:pos="9638"/>
        </w:tabs>
        <w:rPr>
          <w:noProof/>
        </w:rPr>
      </w:pPr>
      <w:hyperlink w:anchor="_Toc229487756" w:history="1">
        <w:r w:rsidRPr="00883457">
          <w:rPr>
            <w:rStyle w:val="Collegamentoipertestuale"/>
            <w:noProof/>
          </w:rPr>
          <w:t>12. Victim Identification, Referral, and First Protection</w:t>
        </w:r>
        <w:r>
          <w:rPr>
            <w:noProof/>
            <w:webHidden/>
          </w:rPr>
          <w:tab/>
        </w:r>
        <w:r>
          <w:rPr>
            <w:noProof/>
            <w:webHidden/>
          </w:rPr>
          <w:fldChar w:fldCharType="begin"/>
        </w:r>
        <w:r>
          <w:rPr>
            <w:noProof/>
            <w:webHidden/>
          </w:rPr>
          <w:instrText xml:space="preserve"> PAGEREF _Toc229487756 \h </w:instrText>
        </w:r>
        <w:r>
          <w:rPr>
            <w:noProof/>
            <w:webHidden/>
          </w:rPr>
        </w:r>
        <w:r>
          <w:rPr>
            <w:noProof/>
            <w:webHidden/>
          </w:rPr>
          <w:fldChar w:fldCharType="separate"/>
        </w:r>
        <w:r>
          <w:rPr>
            <w:noProof/>
            <w:webHidden/>
          </w:rPr>
          <w:t>16</w:t>
        </w:r>
        <w:r>
          <w:rPr>
            <w:noProof/>
            <w:webHidden/>
          </w:rPr>
          <w:fldChar w:fldCharType="end"/>
        </w:r>
      </w:hyperlink>
    </w:p>
    <w:p w14:paraId="0513F883" w14:textId="0A976CBE" w:rsidR="00BF612E" w:rsidRDefault="00BF612E">
      <w:pPr>
        <w:pStyle w:val="Sommario1"/>
        <w:tabs>
          <w:tab w:val="right" w:leader="dot" w:pos="9638"/>
        </w:tabs>
        <w:rPr>
          <w:noProof/>
        </w:rPr>
      </w:pPr>
      <w:hyperlink w:anchor="_Toc229487757" w:history="1">
        <w:r w:rsidRPr="00883457">
          <w:rPr>
            <w:rStyle w:val="Collegamentoipertestuale"/>
            <w:noProof/>
          </w:rPr>
          <w:t>13. Access to Justice and Prosecutorial Strategy</w:t>
        </w:r>
        <w:r>
          <w:rPr>
            <w:noProof/>
            <w:webHidden/>
          </w:rPr>
          <w:tab/>
        </w:r>
        <w:r>
          <w:rPr>
            <w:noProof/>
            <w:webHidden/>
          </w:rPr>
          <w:fldChar w:fldCharType="begin"/>
        </w:r>
        <w:r>
          <w:rPr>
            <w:noProof/>
            <w:webHidden/>
          </w:rPr>
          <w:instrText xml:space="preserve"> PAGEREF _Toc229487757 \h </w:instrText>
        </w:r>
        <w:r>
          <w:rPr>
            <w:noProof/>
            <w:webHidden/>
          </w:rPr>
        </w:r>
        <w:r>
          <w:rPr>
            <w:noProof/>
            <w:webHidden/>
          </w:rPr>
          <w:fldChar w:fldCharType="separate"/>
        </w:r>
        <w:r>
          <w:rPr>
            <w:noProof/>
            <w:webHidden/>
          </w:rPr>
          <w:t>17</w:t>
        </w:r>
        <w:r>
          <w:rPr>
            <w:noProof/>
            <w:webHidden/>
          </w:rPr>
          <w:fldChar w:fldCharType="end"/>
        </w:r>
      </w:hyperlink>
    </w:p>
    <w:p w14:paraId="6A316C9D" w14:textId="4639BCCB" w:rsidR="00BF612E" w:rsidRDefault="00BF612E">
      <w:pPr>
        <w:pStyle w:val="Sommario1"/>
        <w:tabs>
          <w:tab w:val="right" w:leader="dot" w:pos="9638"/>
        </w:tabs>
        <w:rPr>
          <w:noProof/>
        </w:rPr>
      </w:pPr>
      <w:hyperlink w:anchor="_Toc229487758" w:history="1">
        <w:r w:rsidRPr="00883457">
          <w:rPr>
            <w:rStyle w:val="Collegamentoipertestuale"/>
            <w:noProof/>
          </w:rPr>
          <w:t>14. Financial Investigation and Asset Disruption</w:t>
        </w:r>
        <w:r>
          <w:rPr>
            <w:noProof/>
            <w:webHidden/>
          </w:rPr>
          <w:tab/>
        </w:r>
        <w:r>
          <w:rPr>
            <w:noProof/>
            <w:webHidden/>
          </w:rPr>
          <w:fldChar w:fldCharType="begin"/>
        </w:r>
        <w:r>
          <w:rPr>
            <w:noProof/>
            <w:webHidden/>
          </w:rPr>
          <w:instrText xml:space="preserve"> PAGEREF _Toc229487758 \h </w:instrText>
        </w:r>
        <w:r>
          <w:rPr>
            <w:noProof/>
            <w:webHidden/>
          </w:rPr>
        </w:r>
        <w:r>
          <w:rPr>
            <w:noProof/>
            <w:webHidden/>
          </w:rPr>
          <w:fldChar w:fldCharType="separate"/>
        </w:r>
        <w:r>
          <w:rPr>
            <w:noProof/>
            <w:webHidden/>
          </w:rPr>
          <w:t>17</w:t>
        </w:r>
        <w:r>
          <w:rPr>
            <w:noProof/>
            <w:webHidden/>
          </w:rPr>
          <w:fldChar w:fldCharType="end"/>
        </w:r>
      </w:hyperlink>
    </w:p>
    <w:p w14:paraId="0520B7A1" w14:textId="6A9397AF" w:rsidR="00BF612E" w:rsidRDefault="00BF612E">
      <w:pPr>
        <w:pStyle w:val="Sommario1"/>
        <w:tabs>
          <w:tab w:val="right" w:leader="dot" w:pos="9638"/>
        </w:tabs>
        <w:rPr>
          <w:noProof/>
        </w:rPr>
      </w:pPr>
      <w:hyperlink w:anchor="_Toc229487759" w:history="1">
        <w:r w:rsidRPr="00883457">
          <w:rPr>
            <w:rStyle w:val="Collegamentoipertestuale"/>
            <w:noProof/>
          </w:rPr>
          <w:t>15. Public-Private Cooperation: Framework, Boundaries, and Good Practice</w:t>
        </w:r>
        <w:r>
          <w:rPr>
            <w:noProof/>
            <w:webHidden/>
          </w:rPr>
          <w:tab/>
        </w:r>
        <w:r>
          <w:rPr>
            <w:noProof/>
            <w:webHidden/>
          </w:rPr>
          <w:fldChar w:fldCharType="begin"/>
        </w:r>
        <w:r>
          <w:rPr>
            <w:noProof/>
            <w:webHidden/>
          </w:rPr>
          <w:instrText xml:space="preserve"> PAGEREF _Toc229487759 \h </w:instrText>
        </w:r>
        <w:r>
          <w:rPr>
            <w:noProof/>
            <w:webHidden/>
          </w:rPr>
        </w:r>
        <w:r>
          <w:rPr>
            <w:noProof/>
            <w:webHidden/>
          </w:rPr>
          <w:fldChar w:fldCharType="separate"/>
        </w:r>
        <w:r>
          <w:rPr>
            <w:noProof/>
            <w:webHidden/>
          </w:rPr>
          <w:t>18</w:t>
        </w:r>
        <w:r>
          <w:rPr>
            <w:noProof/>
            <w:webHidden/>
          </w:rPr>
          <w:fldChar w:fldCharType="end"/>
        </w:r>
      </w:hyperlink>
    </w:p>
    <w:p w14:paraId="533140E0" w14:textId="147153AE" w:rsidR="00BF612E" w:rsidRDefault="00BF612E">
      <w:pPr>
        <w:pStyle w:val="Sommario1"/>
        <w:tabs>
          <w:tab w:val="right" w:leader="dot" w:pos="9638"/>
        </w:tabs>
        <w:rPr>
          <w:noProof/>
        </w:rPr>
      </w:pPr>
      <w:hyperlink w:anchor="_Toc229487760" w:history="1">
        <w:r w:rsidRPr="00883457">
          <w:rPr>
            <w:rStyle w:val="Collegamentoipertestuale"/>
            <w:noProof/>
          </w:rPr>
          <w:t>16. Counter-THB Campaigns and Strategic Communication</w:t>
        </w:r>
        <w:r>
          <w:rPr>
            <w:noProof/>
            <w:webHidden/>
          </w:rPr>
          <w:tab/>
        </w:r>
        <w:r>
          <w:rPr>
            <w:noProof/>
            <w:webHidden/>
          </w:rPr>
          <w:fldChar w:fldCharType="begin"/>
        </w:r>
        <w:r>
          <w:rPr>
            <w:noProof/>
            <w:webHidden/>
          </w:rPr>
          <w:instrText xml:space="preserve"> PAGEREF _Toc229487760 \h </w:instrText>
        </w:r>
        <w:r>
          <w:rPr>
            <w:noProof/>
            <w:webHidden/>
          </w:rPr>
        </w:r>
        <w:r>
          <w:rPr>
            <w:noProof/>
            <w:webHidden/>
          </w:rPr>
          <w:fldChar w:fldCharType="separate"/>
        </w:r>
        <w:r>
          <w:rPr>
            <w:noProof/>
            <w:webHidden/>
          </w:rPr>
          <w:t>19</w:t>
        </w:r>
        <w:r>
          <w:rPr>
            <w:noProof/>
            <w:webHidden/>
          </w:rPr>
          <w:fldChar w:fldCharType="end"/>
        </w:r>
      </w:hyperlink>
    </w:p>
    <w:p w14:paraId="2392C3B8" w14:textId="5F9736F3" w:rsidR="00BF612E" w:rsidRDefault="00BF612E">
      <w:pPr>
        <w:pStyle w:val="Sommario1"/>
        <w:tabs>
          <w:tab w:val="right" w:leader="dot" w:pos="9638"/>
        </w:tabs>
        <w:rPr>
          <w:noProof/>
        </w:rPr>
      </w:pPr>
      <w:hyperlink w:anchor="_Toc229487761" w:history="1">
        <w:r w:rsidRPr="00883457">
          <w:rPr>
            <w:rStyle w:val="Collegamentoipertestuale"/>
            <w:noProof/>
          </w:rPr>
          <w:t>17. Information Sharing, Data Protection, and Record-Keeping</w:t>
        </w:r>
        <w:r>
          <w:rPr>
            <w:noProof/>
            <w:webHidden/>
          </w:rPr>
          <w:tab/>
        </w:r>
        <w:r>
          <w:rPr>
            <w:noProof/>
            <w:webHidden/>
          </w:rPr>
          <w:fldChar w:fldCharType="begin"/>
        </w:r>
        <w:r>
          <w:rPr>
            <w:noProof/>
            <w:webHidden/>
          </w:rPr>
          <w:instrText xml:space="preserve"> PAGEREF _Toc229487761 \h </w:instrText>
        </w:r>
        <w:r>
          <w:rPr>
            <w:noProof/>
            <w:webHidden/>
          </w:rPr>
        </w:r>
        <w:r>
          <w:rPr>
            <w:noProof/>
            <w:webHidden/>
          </w:rPr>
          <w:fldChar w:fldCharType="separate"/>
        </w:r>
        <w:r>
          <w:rPr>
            <w:noProof/>
            <w:webHidden/>
          </w:rPr>
          <w:t>20</w:t>
        </w:r>
        <w:r>
          <w:rPr>
            <w:noProof/>
            <w:webHidden/>
          </w:rPr>
          <w:fldChar w:fldCharType="end"/>
        </w:r>
      </w:hyperlink>
    </w:p>
    <w:p w14:paraId="506B245D" w14:textId="4A71FEDC" w:rsidR="00BF612E" w:rsidRDefault="00BF612E">
      <w:pPr>
        <w:pStyle w:val="Sommario1"/>
        <w:tabs>
          <w:tab w:val="right" w:leader="dot" w:pos="9638"/>
        </w:tabs>
        <w:rPr>
          <w:noProof/>
        </w:rPr>
      </w:pPr>
      <w:hyperlink w:anchor="_Toc229487762" w:history="1">
        <w:r w:rsidRPr="00883457">
          <w:rPr>
            <w:rStyle w:val="Collegamentoipertestuale"/>
            <w:noProof/>
          </w:rPr>
          <w:t>18. Training Architecture and Competence Standards</w:t>
        </w:r>
        <w:r>
          <w:rPr>
            <w:noProof/>
            <w:webHidden/>
          </w:rPr>
          <w:tab/>
        </w:r>
        <w:r>
          <w:rPr>
            <w:noProof/>
            <w:webHidden/>
          </w:rPr>
          <w:fldChar w:fldCharType="begin"/>
        </w:r>
        <w:r>
          <w:rPr>
            <w:noProof/>
            <w:webHidden/>
          </w:rPr>
          <w:instrText xml:space="preserve"> PAGEREF _Toc229487762 \h </w:instrText>
        </w:r>
        <w:r>
          <w:rPr>
            <w:noProof/>
            <w:webHidden/>
          </w:rPr>
        </w:r>
        <w:r>
          <w:rPr>
            <w:noProof/>
            <w:webHidden/>
          </w:rPr>
          <w:fldChar w:fldCharType="separate"/>
        </w:r>
        <w:r>
          <w:rPr>
            <w:noProof/>
            <w:webHidden/>
          </w:rPr>
          <w:t>21</w:t>
        </w:r>
        <w:r>
          <w:rPr>
            <w:noProof/>
            <w:webHidden/>
          </w:rPr>
          <w:fldChar w:fldCharType="end"/>
        </w:r>
      </w:hyperlink>
    </w:p>
    <w:p w14:paraId="395ED84E" w14:textId="6403FAB8" w:rsidR="00BF612E" w:rsidRDefault="00BF612E">
      <w:pPr>
        <w:pStyle w:val="Sommario1"/>
        <w:tabs>
          <w:tab w:val="right" w:leader="dot" w:pos="9638"/>
        </w:tabs>
        <w:rPr>
          <w:noProof/>
        </w:rPr>
      </w:pPr>
      <w:hyperlink w:anchor="_Toc229487763" w:history="1">
        <w:r w:rsidRPr="00883457">
          <w:rPr>
            <w:rStyle w:val="Collegamentoipertestuale"/>
            <w:noProof/>
          </w:rPr>
          <w:t>19. Monitoring, KPIs, and Learning Loops</w:t>
        </w:r>
        <w:r>
          <w:rPr>
            <w:noProof/>
            <w:webHidden/>
          </w:rPr>
          <w:tab/>
        </w:r>
        <w:r>
          <w:rPr>
            <w:noProof/>
            <w:webHidden/>
          </w:rPr>
          <w:fldChar w:fldCharType="begin"/>
        </w:r>
        <w:r>
          <w:rPr>
            <w:noProof/>
            <w:webHidden/>
          </w:rPr>
          <w:instrText xml:space="preserve"> PAGEREF _Toc229487763 \h </w:instrText>
        </w:r>
        <w:r>
          <w:rPr>
            <w:noProof/>
            <w:webHidden/>
          </w:rPr>
        </w:r>
        <w:r>
          <w:rPr>
            <w:noProof/>
            <w:webHidden/>
          </w:rPr>
          <w:fldChar w:fldCharType="separate"/>
        </w:r>
        <w:r>
          <w:rPr>
            <w:noProof/>
            <w:webHidden/>
          </w:rPr>
          <w:t>22</w:t>
        </w:r>
        <w:r>
          <w:rPr>
            <w:noProof/>
            <w:webHidden/>
          </w:rPr>
          <w:fldChar w:fldCharType="end"/>
        </w:r>
      </w:hyperlink>
    </w:p>
    <w:p w14:paraId="069CFDFC" w14:textId="790AA927" w:rsidR="00BF612E" w:rsidRDefault="00BF612E">
      <w:pPr>
        <w:pStyle w:val="Sommario1"/>
        <w:tabs>
          <w:tab w:val="right" w:leader="dot" w:pos="9638"/>
        </w:tabs>
        <w:rPr>
          <w:noProof/>
        </w:rPr>
      </w:pPr>
      <w:hyperlink w:anchor="_Toc229487764" w:history="1">
        <w:r w:rsidRPr="00883457">
          <w:rPr>
            <w:rStyle w:val="Collegamentoipertestuale"/>
            <w:noProof/>
          </w:rPr>
          <w:t>20. Implementation Roadmap for a Local Pilot</w:t>
        </w:r>
        <w:r>
          <w:rPr>
            <w:noProof/>
            <w:webHidden/>
          </w:rPr>
          <w:tab/>
        </w:r>
        <w:r>
          <w:rPr>
            <w:noProof/>
            <w:webHidden/>
          </w:rPr>
          <w:fldChar w:fldCharType="begin"/>
        </w:r>
        <w:r>
          <w:rPr>
            <w:noProof/>
            <w:webHidden/>
          </w:rPr>
          <w:instrText xml:space="preserve"> PAGEREF _Toc229487764 \h </w:instrText>
        </w:r>
        <w:r>
          <w:rPr>
            <w:noProof/>
            <w:webHidden/>
          </w:rPr>
        </w:r>
        <w:r>
          <w:rPr>
            <w:noProof/>
            <w:webHidden/>
          </w:rPr>
          <w:fldChar w:fldCharType="separate"/>
        </w:r>
        <w:r>
          <w:rPr>
            <w:noProof/>
            <w:webHidden/>
          </w:rPr>
          <w:t>22</w:t>
        </w:r>
        <w:r>
          <w:rPr>
            <w:noProof/>
            <w:webHidden/>
          </w:rPr>
          <w:fldChar w:fldCharType="end"/>
        </w:r>
      </w:hyperlink>
    </w:p>
    <w:p w14:paraId="4FC85143" w14:textId="3A5B4BF4" w:rsidR="00BF612E" w:rsidRDefault="00BF612E">
      <w:pPr>
        <w:pStyle w:val="Sommario1"/>
        <w:tabs>
          <w:tab w:val="right" w:leader="dot" w:pos="9638"/>
        </w:tabs>
        <w:rPr>
          <w:noProof/>
        </w:rPr>
      </w:pPr>
      <w:hyperlink w:anchor="_Toc229487765" w:history="1">
        <w:r w:rsidRPr="00883457">
          <w:rPr>
            <w:rStyle w:val="Collegamentoipertestuale"/>
            <w:noProof/>
          </w:rPr>
          <w:t>Annex A. Multi-Agency Meeting Template</w:t>
        </w:r>
        <w:r>
          <w:rPr>
            <w:noProof/>
            <w:webHidden/>
          </w:rPr>
          <w:tab/>
        </w:r>
        <w:r>
          <w:rPr>
            <w:noProof/>
            <w:webHidden/>
          </w:rPr>
          <w:fldChar w:fldCharType="begin"/>
        </w:r>
        <w:r>
          <w:rPr>
            <w:noProof/>
            <w:webHidden/>
          </w:rPr>
          <w:instrText xml:space="preserve"> PAGEREF _Toc229487765 \h </w:instrText>
        </w:r>
        <w:r>
          <w:rPr>
            <w:noProof/>
            <w:webHidden/>
          </w:rPr>
        </w:r>
        <w:r>
          <w:rPr>
            <w:noProof/>
            <w:webHidden/>
          </w:rPr>
          <w:fldChar w:fldCharType="separate"/>
        </w:r>
        <w:r>
          <w:rPr>
            <w:noProof/>
            <w:webHidden/>
          </w:rPr>
          <w:t>23</w:t>
        </w:r>
        <w:r>
          <w:rPr>
            <w:noProof/>
            <w:webHidden/>
          </w:rPr>
          <w:fldChar w:fldCharType="end"/>
        </w:r>
      </w:hyperlink>
    </w:p>
    <w:p w14:paraId="52E25154" w14:textId="7B29EFE6" w:rsidR="00BF612E" w:rsidRDefault="00BF612E">
      <w:pPr>
        <w:pStyle w:val="Sommario1"/>
        <w:tabs>
          <w:tab w:val="right" w:leader="dot" w:pos="9638"/>
        </w:tabs>
        <w:rPr>
          <w:noProof/>
        </w:rPr>
      </w:pPr>
      <w:hyperlink w:anchor="_Toc229487766" w:history="1">
        <w:r w:rsidRPr="00883457">
          <w:rPr>
            <w:rStyle w:val="Collegamentoipertestuale"/>
            <w:noProof/>
          </w:rPr>
          <w:t>Annex B. Initial Digital Lead Triage Form</w:t>
        </w:r>
        <w:r>
          <w:rPr>
            <w:noProof/>
            <w:webHidden/>
          </w:rPr>
          <w:tab/>
        </w:r>
        <w:r>
          <w:rPr>
            <w:noProof/>
            <w:webHidden/>
          </w:rPr>
          <w:fldChar w:fldCharType="begin"/>
        </w:r>
        <w:r>
          <w:rPr>
            <w:noProof/>
            <w:webHidden/>
          </w:rPr>
          <w:instrText xml:space="preserve"> PAGEREF _Toc229487766 \h </w:instrText>
        </w:r>
        <w:r>
          <w:rPr>
            <w:noProof/>
            <w:webHidden/>
          </w:rPr>
        </w:r>
        <w:r>
          <w:rPr>
            <w:noProof/>
            <w:webHidden/>
          </w:rPr>
          <w:fldChar w:fldCharType="separate"/>
        </w:r>
        <w:r>
          <w:rPr>
            <w:noProof/>
            <w:webHidden/>
          </w:rPr>
          <w:t>23</w:t>
        </w:r>
        <w:r>
          <w:rPr>
            <w:noProof/>
            <w:webHidden/>
          </w:rPr>
          <w:fldChar w:fldCharType="end"/>
        </w:r>
      </w:hyperlink>
    </w:p>
    <w:p w14:paraId="4F56E320" w14:textId="0357904C" w:rsidR="00BF612E" w:rsidRDefault="00BF612E">
      <w:pPr>
        <w:pStyle w:val="Sommario1"/>
        <w:tabs>
          <w:tab w:val="right" w:leader="dot" w:pos="9638"/>
        </w:tabs>
        <w:rPr>
          <w:noProof/>
        </w:rPr>
      </w:pPr>
      <w:hyperlink w:anchor="_Toc229487767" w:history="1">
        <w:r w:rsidRPr="00883457">
          <w:rPr>
            <w:rStyle w:val="Collegamentoipertestuale"/>
            <w:noProof/>
          </w:rPr>
          <w:t>Annex C. Presumed Victim Safeguarding Checklist</w:t>
        </w:r>
        <w:r>
          <w:rPr>
            <w:noProof/>
            <w:webHidden/>
          </w:rPr>
          <w:tab/>
        </w:r>
        <w:r>
          <w:rPr>
            <w:noProof/>
            <w:webHidden/>
          </w:rPr>
          <w:fldChar w:fldCharType="begin"/>
        </w:r>
        <w:r>
          <w:rPr>
            <w:noProof/>
            <w:webHidden/>
          </w:rPr>
          <w:instrText xml:space="preserve"> PAGEREF _Toc229487767 \h </w:instrText>
        </w:r>
        <w:r>
          <w:rPr>
            <w:noProof/>
            <w:webHidden/>
          </w:rPr>
        </w:r>
        <w:r>
          <w:rPr>
            <w:noProof/>
            <w:webHidden/>
          </w:rPr>
          <w:fldChar w:fldCharType="separate"/>
        </w:r>
        <w:r>
          <w:rPr>
            <w:noProof/>
            <w:webHidden/>
          </w:rPr>
          <w:t>24</w:t>
        </w:r>
        <w:r>
          <w:rPr>
            <w:noProof/>
            <w:webHidden/>
          </w:rPr>
          <w:fldChar w:fldCharType="end"/>
        </w:r>
      </w:hyperlink>
    </w:p>
    <w:p w14:paraId="535413C6" w14:textId="3A5633A8" w:rsidR="00BF612E" w:rsidRDefault="00BF612E">
      <w:pPr>
        <w:pStyle w:val="Sommario1"/>
        <w:tabs>
          <w:tab w:val="right" w:leader="dot" w:pos="9638"/>
        </w:tabs>
        <w:rPr>
          <w:noProof/>
        </w:rPr>
      </w:pPr>
      <w:hyperlink w:anchor="_Toc229487768" w:history="1">
        <w:r w:rsidRPr="00883457">
          <w:rPr>
            <w:rStyle w:val="Collegamentoipertestuale"/>
            <w:noProof/>
          </w:rPr>
          <w:t>Annex D. Sample RACI Matrix for a Case Action Team</w:t>
        </w:r>
        <w:r>
          <w:rPr>
            <w:noProof/>
            <w:webHidden/>
          </w:rPr>
          <w:tab/>
        </w:r>
        <w:r>
          <w:rPr>
            <w:noProof/>
            <w:webHidden/>
          </w:rPr>
          <w:fldChar w:fldCharType="begin"/>
        </w:r>
        <w:r>
          <w:rPr>
            <w:noProof/>
            <w:webHidden/>
          </w:rPr>
          <w:instrText xml:space="preserve"> PAGEREF _Toc229487768 \h </w:instrText>
        </w:r>
        <w:r>
          <w:rPr>
            <w:noProof/>
            <w:webHidden/>
          </w:rPr>
        </w:r>
        <w:r>
          <w:rPr>
            <w:noProof/>
            <w:webHidden/>
          </w:rPr>
          <w:fldChar w:fldCharType="separate"/>
        </w:r>
        <w:r>
          <w:rPr>
            <w:noProof/>
            <w:webHidden/>
          </w:rPr>
          <w:t>24</w:t>
        </w:r>
        <w:r>
          <w:rPr>
            <w:noProof/>
            <w:webHidden/>
          </w:rPr>
          <w:fldChar w:fldCharType="end"/>
        </w:r>
      </w:hyperlink>
    </w:p>
    <w:p w14:paraId="5B8761E7" w14:textId="1BE6CDCC" w:rsidR="00BF612E" w:rsidRDefault="00BF612E">
      <w:pPr>
        <w:pStyle w:val="Sommario1"/>
        <w:tabs>
          <w:tab w:val="right" w:leader="dot" w:pos="9638"/>
        </w:tabs>
        <w:rPr>
          <w:noProof/>
        </w:rPr>
      </w:pPr>
      <w:hyperlink w:anchor="_Toc229487769" w:history="1">
        <w:r w:rsidRPr="00883457">
          <w:rPr>
            <w:rStyle w:val="Collegamentoipertestuale"/>
            <w:noProof/>
          </w:rPr>
          <w:t>Annex E. Campaign Planning Canvas</w:t>
        </w:r>
        <w:r>
          <w:rPr>
            <w:noProof/>
            <w:webHidden/>
          </w:rPr>
          <w:tab/>
        </w:r>
        <w:r>
          <w:rPr>
            <w:noProof/>
            <w:webHidden/>
          </w:rPr>
          <w:fldChar w:fldCharType="begin"/>
        </w:r>
        <w:r>
          <w:rPr>
            <w:noProof/>
            <w:webHidden/>
          </w:rPr>
          <w:instrText xml:space="preserve"> PAGEREF _Toc229487769 \h </w:instrText>
        </w:r>
        <w:r>
          <w:rPr>
            <w:noProof/>
            <w:webHidden/>
          </w:rPr>
        </w:r>
        <w:r>
          <w:rPr>
            <w:noProof/>
            <w:webHidden/>
          </w:rPr>
          <w:fldChar w:fldCharType="separate"/>
        </w:r>
        <w:r>
          <w:rPr>
            <w:noProof/>
            <w:webHidden/>
          </w:rPr>
          <w:t>25</w:t>
        </w:r>
        <w:r>
          <w:rPr>
            <w:noProof/>
            <w:webHidden/>
          </w:rPr>
          <w:fldChar w:fldCharType="end"/>
        </w:r>
      </w:hyperlink>
    </w:p>
    <w:p w14:paraId="73C3C5FD" w14:textId="292A5553" w:rsidR="00BF612E" w:rsidRDefault="00BF612E">
      <w:pPr>
        <w:pStyle w:val="Sommario1"/>
        <w:tabs>
          <w:tab w:val="right" w:leader="dot" w:pos="9638"/>
        </w:tabs>
        <w:rPr>
          <w:noProof/>
        </w:rPr>
      </w:pPr>
      <w:hyperlink w:anchor="_Toc229487770" w:history="1">
        <w:r w:rsidRPr="00883457">
          <w:rPr>
            <w:rStyle w:val="Collegamentoipertestuale"/>
            <w:noProof/>
          </w:rPr>
          <w:t>Annex F. Training Curriculum Outline</w:t>
        </w:r>
        <w:r>
          <w:rPr>
            <w:noProof/>
            <w:webHidden/>
          </w:rPr>
          <w:tab/>
        </w:r>
        <w:r>
          <w:rPr>
            <w:noProof/>
            <w:webHidden/>
          </w:rPr>
          <w:fldChar w:fldCharType="begin"/>
        </w:r>
        <w:r>
          <w:rPr>
            <w:noProof/>
            <w:webHidden/>
          </w:rPr>
          <w:instrText xml:space="preserve"> PAGEREF _Toc229487770 \h </w:instrText>
        </w:r>
        <w:r>
          <w:rPr>
            <w:noProof/>
            <w:webHidden/>
          </w:rPr>
        </w:r>
        <w:r>
          <w:rPr>
            <w:noProof/>
            <w:webHidden/>
          </w:rPr>
          <w:fldChar w:fldCharType="separate"/>
        </w:r>
        <w:r>
          <w:rPr>
            <w:noProof/>
            <w:webHidden/>
          </w:rPr>
          <w:t>25</w:t>
        </w:r>
        <w:r>
          <w:rPr>
            <w:noProof/>
            <w:webHidden/>
          </w:rPr>
          <w:fldChar w:fldCharType="end"/>
        </w:r>
      </w:hyperlink>
    </w:p>
    <w:p w14:paraId="388F6A67" w14:textId="32670D40" w:rsidR="00BF612E" w:rsidRDefault="00BF612E">
      <w:pPr>
        <w:pStyle w:val="Sommario1"/>
        <w:tabs>
          <w:tab w:val="right" w:leader="dot" w:pos="9638"/>
        </w:tabs>
        <w:rPr>
          <w:noProof/>
        </w:rPr>
      </w:pPr>
      <w:hyperlink w:anchor="_Toc229487771" w:history="1">
        <w:r w:rsidRPr="00883457">
          <w:rPr>
            <w:rStyle w:val="Collegamentoipertestuale"/>
            <w:noProof/>
          </w:rPr>
          <w:t>Annex G. Suggested Maturity Assessment</w:t>
        </w:r>
        <w:r>
          <w:rPr>
            <w:noProof/>
            <w:webHidden/>
          </w:rPr>
          <w:tab/>
        </w:r>
        <w:r>
          <w:rPr>
            <w:noProof/>
            <w:webHidden/>
          </w:rPr>
          <w:fldChar w:fldCharType="begin"/>
        </w:r>
        <w:r>
          <w:rPr>
            <w:noProof/>
            <w:webHidden/>
          </w:rPr>
          <w:instrText xml:space="preserve"> PAGEREF _Toc229487771 \h </w:instrText>
        </w:r>
        <w:r>
          <w:rPr>
            <w:noProof/>
            <w:webHidden/>
          </w:rPr>
        </w:r>
        <w:r>
          <w:rPr>
            <w:noProof/>
            <w:webHidden/>
          </w:rPr>
          <w:fldChar w:fldCharType="separate"/>
        </w:r>
        <w:r>
          <w:rPr>
            <w:noProof/>
            <w:webHidden/>
          </w:rPr>
          <w:t>26</w:t>
        </w:r>
        <w:r>
          <w:rPr>
            <w:noProof/>
            <w:webHidden/>
          </w:rPr>
          <w:fldChar w:fldCharType="end"/>
        </w:r>
      </w:hyperlink>
    </w:p>
    <w:p w14:paraId="70F1D60B" w14:textId="1EE1C42A" w:rsidR="00BF612E" w:rsidRDefault="00BF612E">
      <w:pPr>
        <w:pStyle w:val="Sommario1"/>
        <w:tabs>
          <w:tab w:val="right" w:leader="dot" w:pos="9638"/>
        </w:tabs>
        <w:rPr>
          <w:noProof/>
        </w:rPr>
      </w:pPr>
      <w:hyperlink w:anchor="_Toc229487772" w:history="1">
        <w:r w:rsidRPr="00883457">
          <w:rPr>
            <w:rStyle w:val="Collegamentoipertestuale"/>
            <w:noProof/>
          </w:rPr>
          <w:t>Annex H. Standard Operating Procedure for Digital Lead Preservation</w:t>
        </w:r>
        <w:r>
          <w:rPr>
            <w:noProof/>
            <w:webHidden/>
          </w:rPr>
          <w:tab/>
        </w:r>
        <w:r>
          <w:rPr>
            <w:noProof/>
            <w:webHidden/>
          </w:rPr>
          <w:fldChar w:fldCharType="begin"/>
        </w:r>
        <w:r>
          <w:rPr>
            <w:noProof/>
            <w:webHidden/>
          </w:rPr>
          <w:instrText xml:space="preserve"> PAGEREF _Toc229487772 \h </w:instrText>
        </w:r>
        <w:r>
          <w:rPr>
            <w:noProof/>
            <w:webHidden/>
          </w:rPr>
        </w:r>
        <w:r>
          <w:rPr>
            <w:noProof/>
            <w:webHidden/>
          </w:rPr>
          <w:fldChar w:fldCharType="separate"/>
        </w:r>
        <w:r>
          <w:rPr>
            <w:noProof/>
            <w:webHidden/>
          </w:rPr>
          <w:t>27</w:t>
        </w:r>
        <w:r>
          <w:rPr>
            <w:noProof/>
            <w:webHidden/>
          </w:rPr>
          <w:fldChar w:fldCharType="end"/>
        </w:r>
      </w:hyperlink>
    </w:p>
    <w:p w14:paraId="08AD6207" w14:textId="6BD406CD" w:rsidR="00BF612E" w:rsidRDefault="00BF612E">
      <w:pPr>
        <w:pStyle w:val="Sommario1"/>
        <w:tabs>
          <w:tab w:val="right" w:leader="dot" w:pos="9638"/>
        </w:tabs>
        <w:rPr>
          <w:noProof/>
        </w:rPr>
      </w:pPr>
      <w:hyperlink w:anchor="_Toc229487773" w:history="1">
        <w:r w:rsidRPr="00883457">
          <w:rPr>
            <w:rStyle w:val="Collegamentoipertestuale"/>
            <w:noProof/>
          </w:rPr>
          <w:t>Annex I. Role-Specific Quick Guide for Investigators</w:t>
        </w:r>
        <w:r>
          <w:rPr>
            <w:noProof/>
            <w:webHidden/>
          </w:rPr>
          <w:tab/>
        </w:r>
        <w:r>
          <w:rPr>
            <w:noProof/>
            <w:webHidden/>
          </w:rPr>
          <w:fldChar w:fldCharType="begin"/>
        </w:r>
        <w:r>
          <w:rPr>
            <w:noProof/>
            <w:webHidden/>
          </w:rPr>
          <w:instrText xml:space="preserve"> PAGEREF _Toc229487773 \h </w:instrText>
        </w:r>
        <w:r>
          <w:rPr>
            <w:noProof/>
            <w:webHidden/>
          </w:rPr>
        </w:r>
        <w:r>
          <w:rPr>
            <w:noProof/>
            <w:webHidden/>
          </w:rPr>
          <w:fldChar w:fldCharType="separate"/>
        </w:r>
        <w:r>
          <w:rPr>
            <w:noProof/>
            <w:webHidden/>
          </w:rPr>
          <w:t>27</w:t>
        </w:r>
        <w:r>
          <w:rPr>
            <w:noProof/>
            <w:webHidden/>
          </w:rPr>
          <w:fldChar w:fldCharType="end"/>
        </w:r>
      </w:hyperlink>
    </w:p>
    <w:p w14:paraId="7E966E19" w14:textId="235EEB40" w:rsidR="00BF612E" w:rsidRDefault="00BF612E">
      <w:pPr>
        <w:pStyle w:val="Sommario1"/>
        <w:tabs>
          <w:tab w:val="right" w:leader="dot" w:pos="9638"/>
        </w:tabs>
        <w:rPr>
          <w:noProof/>
        </w:rPr>
      </w:pPr>
      <w:hyperlink w:anchor="_Toc229487774" w:history="1">
        <w:r w:rsidRPr="00883457">
          <w:rPr>
            <w:rStyle w:val="Collegamentoipertestuale"/>
            <w:noProof/>
          </w:rPr>
          <w:t>Annex J. Role-Specific Quick Guide for Prosecutors and Investigative Judges</w:t>
        </w:r>
        <w:r>
          <w:rPr>
            <w:noProof/>
            <w:webHidden/>
          </w:rPr>
          <w:tab/>
        </w:r>
        <w:r>
          <w:rPr>
            <w:noProof/>
            <w:webHidden/>
          </w:rPr>
          <w:fldChar w:fldCharType="begin"/>
        </w:r>
        <w:r>
          <w:rPr>
            <w:noProof/>
            <w:webHidden/>
          </w:rPr>
          <w:instrText xml:space="preserve"> PAGEREF _Toc229487774 \h </w:instrText>
        </w:r>
        <w:r>
          <w:rPr>
            <w:noProof/>
            <w:webHidden/>
          </w:rPr>
        </w:r>
        <w:r>
          <w:rPr>
            <w:noProof/>
            <w:webHidden/>
          </w:rPr>
          <w:fldChar w:fldCharType="separate"/>
        </w:r>
        <w:r>
          <w:rPr>
            <w:noProof/>
            <w:webHidden/>
          </w:rPr>
          <w:t>28</w:t>
        </w:r>
        <w:r>
          <w:rPr>
            <w:noProof/>
            <w:webHidden/>
          </w:rPr>
          <w:fldChar w:fldCharType="end"/>
        </w:r>
      </w:hyperlink>
    </w:p>
    <w:p w14:paraId="6C0AA0D4" w14:textId="703D2AFD" w:rsidR="00BF612E" w:rsidRDefault="00BF612E">
      <w:pPr>
        <w:pStyle w:val="Sommario1"/>
        <w:tabs>
          <w:tab w:val="right" w:leader="dot" w:pos="9638"/>
        </w:tabs>
        <w:rPr>
          <w:noProof/>
        </w:rPr>
      </w:pPr>
      <w:hyperlink w:anchor="_Toc229487775" w:history="1">
        <w:r w:rsidRPr="00883457">
          <w:rPr>
            <w:rStyle w:val="Collegamentoipertestuale"/>
            <w:noProof/>
          </w:rPr>
          <w:t>Annex K. Role-Specific Quick Guide for NGOs, Outreach Units, and Social Services</w:t>
        </w:r>
        <w:r>
          <w:rPr>
            <w:noProof/>
            <w:webHidden/>
          </w:rPr>
          <w:tab/>
        </w:r>
        <w:r>
          <w:rPr>
            <w:noProof/>
            <w:webHidden/>
          </w:rPr>
          <w:fldChar w:fldCharType="begin"/>
        </w:r>
        <w:r>
          <w:rPr>
            <w:noProof/>
            <w:webHidden/>
          </w:rPr>
          <w:instrText xml:space="preserve"> PAGEREF _Toc229487775 \h </w:instrText>
        </w:r>
        <w:r>
          <w:rPr>
            <w:noProof/>
            <w:webHidden/>
          </w:rPr>
        </w:r>
        <w:r>
          <w:rPr>
            <w:noProof/>
            <w:webHidden/>
          </w:rPr>
          <w:fldChar w:fldCharType="separate"/>
        </w:r>
        <w:r>
          <w:rPr>
            <w:noProof/>
            <w:webHidden/>
          </w:rPr>
          <w:t>29</w:t>
        </w:r>
        <w:r>
          <w:rPr>
            <w:noProof/>
            <w:webHidden/>
          </w:rPr>
          <w:fldChar w:fldCharType="end"/>
        </w:r>
      </w:hyperlink>
    </w:p>
    <w:p w14:paraId="6EC8C6A5" w14:textId="27461DE0" w:rsidR="00BF612E" w:rsidRDefault="00BF612E">
      <w:pPr>
        <w:pStyle w:val="Sommario1"/>
        <w:tabs>
          <w:tab w:val="right" w:leader="dot" w:pos="9638"/>
        </w:tabs>
        <w:rPr>
          <w:noProof/>
        </w:rPr>
      </w:pPr>
      <w:hyperlink w:anchor="_Toc229487776" w:history="1">
        <w:r w:rsidRPr="00883457">
          <w:rPr>
            <w:rStyle w:val="Collegamentoipertestuale"/>
            <w:noProof/>
          </w:rPr>
          <w:t>Annex L. Scenario Exercise: Online Recruitment to Cross-Border Labour Exploitation</w:t>
        </w:r>
        <w:r>
          <w:rPr>
            <w:noProof/>
            <w:webHidden/>
          </w:rPr>
          <w:tab/>
        </w:r>
        <w:r>
          <w:rPr>
            <w:noProof/>
            <w:webHidden/>
          </w:rPr>
          <w:fldChar w:fldCharType="begin"/>
        </w:r>
        <w:r>
          <w:rPr>
            <w:noProof/>
            <w:webHidden/>
          </w:rPr>
          <w:instrText xml:space="preserve"> PAGEREF _Toc229487776 \h </w:instrText>
        </w:r>
        <w:r>
          <w:rPr>
            <w:noProof/>
            <w:webHidden/>
          </w:rPr>
        </w:r>
        <w:r>
          <w:rPr>
            <w:noProof/>
            <w:webHidden/>
          </w:rPr>
          <w:fldChar w:fldCharType="separate"/>
        </w:r>
        <w:r>
          <w:rPr>
            <w:noProof/>
            <w:webHidden/>
          </w:rPr>
          <w:t>29</w:t>
        </w:r>
        <w:r>
          <w:rPr>
            <w:noProof/>
            <w:webHidden/>
          </w:rPr>
          <w:fldChar w:fldCharType="end"/>
        </w:r>
      </w:hyperlink>
    </w:p>
    <w:p w14:paraId="27799BDB" w14:textId="19444AEF" w:rsidR="00BF612E" w:rsidRDefault="00BF612E">
      <w:pPr>
        <w:pStyle w:val="Sommario1"/>
        <w:tabs>
          <w:tab w:val="right" w:leader="dot" w:pos="9638"/>
        </w:tabs>
        <w:rPr>
          <w:noProof/>
        </w:rPr>
      </w:pPr>
      <w:hyperlink w:anchor="_Toc229487777" w:history="1">
        <w:r w:rsidRPr="00883457">
          <w:rPr>
            <w:rStyle w:val="Collegamentoipertestuale"/>
            <w:noProof/>
          </w:rPr>
          <w:t>Annex M. Scenario Exercise: Online Advertisement and Mixed Sexual Exploitation Case</w:t>
        </w:r>
        <w:r>
          <w:rPr>
            <w:noProof/>
            <w:webHidden/>
          </w:rPr>
          <w:tab/>
        </w:r>
        <w:r>
          <w:rPr>
            <w:noProof/>
            <w:webHidden/>
          </w:rPr>
          <w:fldChar w:fldCharType="begin"/>
        </w:r>
        <w:r>
          <w:rPr>
            <w:noProof/>
            <w:webHidden/>
          </w:rPr>
          <w:instrText xml:space="preserve"> PAGEREF _Toc229487777 \h </w:instrText>
        </w:r>
        <w:r>
          <w:rPr>
            <w:noProof/>
            <w:webHidden/>
          </w:rPr>
        </w:r>
        <w:r>
          <w:rPr>
            <w:noProof/>
            <w:webHidden/>
          </w:rPr>
          <w:fldChar w:fldCharType="separate"/>
        </w:r>
        <w:r>
          <w:rPr>
            <w:noProof/>
            <w:webHidden/>
          </w:rPr>
          <w:t>30</w:t>
        </w:r>
        <w:r>
          <w:rPr>
            <w:noProof/>
            <w:webHidden/>
          </w:rPr>
          <w:fldChar w:fldCharType="end"/>
        </w:r>
      </w:hyperlink>
    </w:p>
    <w:p w14:paraId="7F5CFA65" w14:textId="286D942E" w:rsidR="00BF612E" w:rsidRDefault="00BF612E">
      <w:pPr>
        <w:pStyle w:val="Sommario1"/>
        <w:tabs>
          <w:tab w:val="right" w:leader="dot" w:pos="9638"/>
        </w:tabs>
        <w:rPr>
          <w:noProof/>
        </w:rPr>
      </w:pPr>
      <w:hyperlink w:anchor="_Toc229487778" w:history="1">
        <w:r w:rsidRPr="00883457">
          <w:rPr>
            <w:rStyle w:val="Collegamentoipertestuale"/>
            <w:noProof/>
          </w:rPr>
          <w:t>Annex N. Sample Evidence-to-Action Log</w:t>
        </w:r>
        <w:r>
          <w:rPr>
            <w:noProof/>
            <w:webHidden/>
          </w:rPr>
          <w:tab/>
        </w:r>
        <w:r>
          <w:rPr>
            <w:noProof/>
            <w:webHidden/>
          </w:rPr>
          <w:fldChar w:fldCharType="begin"/>
        </w:r>
        <w:r>
          <w:rPr>
            <w:noProof/>
            <w:webHidden/>
          </w:rPr>
          <w:instrText xml:space="preserve"> PAGEREF _Toc229487778 \h </w:instrText>
        </w:r>
        <w:r>
          <w:rPr>
            <w:noProof/>
            <w:webHidden/>
          </w:rPr>
        </w:r>
        <w:r>
          <w:rPr>
            <w:noProof/>
            <w:webHidden/>
          </w:rPr>
          <w:fldChar w:fldCharType="separate"/>
        </w:r>
        <w:r>
          <w:rPr>
            <w:noProof/>
            <w:webHidden/>
          </w:rPr>
          <w:t>31</w:t>
        </w:r>
        <w:r>
          <w:rPr>
            <w:noProof/>
            <w:webHidden/>
          </w:rPr>
          <w:fldChar w:fldCharType="end"/>
        </w:r>
      </w:hyperlink>
    </w:p>
    <w:p w14:paraId="2CFEECBA" w14:textId="6AF564C3" w:rsidR="00BF612E" w:rsidRDefault="00BF612E">
      <w:pPr>
        <w:pStyle w:val="Sommario1"/>
        <w:tabs>
          <w:tab w:val="right" w:leader="dot" w:pos="9638"/>
        </w:tabs>
        <w:rPr>
          <w:noProof/>
        </w:rPr>
      </w:pPr>
      <w:hyperlink w:anchor="_Toc229487779" w:history="1">
        <w:r w:rsidRPr="00883457">
          <w:rPr>
            <w:rStyle w:val="Collegamentoipertestuale"/>
            <w:noProof/>
          </w:rPr>
          <w:t>Annex O. Glossary of Working Terms for Multi-Agency Use</w:t>
        </w:r>
        <w:r>
          <w:rPr>
            <w:noProof/>
            <w:webHidden/>
          </w:rPr>
          <w:tab/>
        </w:r>
        <w:r>
          <w:rPr>
            <w:noProof/>
            <w:webHidden/>
          </w:rPr>
          <w:fldChar w:fldCharType="begin"/>
        </w:r>
        <w:r>
          <w:rPr>
            <w:noProof/>
            <w:webHidden/>
          </w:rPr>
          <w:instrText xml:space="preserve"> PAGEREF _Toc229487779 \h </w:instrText>
        </w:r>
        <w:r>
          <w:rPr>
            <w:noProof/>
            <w:webHidden/>
          </w:rPr>
        </w:r>
        <w:r>
          <w:rPr>
            <w:noProof/>
            <w:webHidden/>
          </w:rPr>
          <w:fldChar w:fldCharType="separate"/>
        </w:r>
        <w:r>
          <w:rPr>
            <w:noProof/>
            <w:webHidden/>
          </w:rPr>
          <w:t>31</w:t>
        </w:r>
        <w:r>
          <w:rPr>
            <w:noProof/>
            <w:webHidden/>
          </w:rPr>
          <w:fldChar w:fldCharType="end"/>
        </w:r>
      </w:hyperlink>
    </w:p>
    <w:p w14:paraId="4ACC751C" w14:textId="7BDF98D5" w:rsidR="00BF612E" w:rsidRDefault="00BF612E">
      <w:pPr>
        <w:pStyle w:val="Sommario1"/>
        <w:tabs>
          <w:tab w:val="right" w:leader="dot" w:pos="9638"/>
        </w:tabs>
        <w:rPr>
          <w:noProof/>
        </w:rPr>
      </w:pPr>
      <w:hyperlink w:anchor="_Toc229487780" w:history="1">
        <w:r w:rsidRPr="00883457">
          <w:rPr>
            <w:rStyle w:val="Collegamentoipertestuale"/>
            <w:noProof/>
          </w:rPr>
          <w:t>Annex P. Cross-Border Cooperation Checklist</w:t>
        </w:r>
        <w:r>
          <w:rPr>
            <w:noProof/>
            <w:webHidden/>
          </w:rPr>
          <w:tab/>
        </w:r>
        <w:r>
          <w:rPr>
            <w:noProof/>
            <w:webHidden/>
          </w:rPr>
          <w:fldChar w:fldCharType="begin"/>
        </w:r>
        <w:r>
          <w:rPr>
            <w:noProof/>
            <w:webHidden/>
          </w:rPr>
          <w:instrText xml:space="preserve"> PAGEREF _Toc229487780 \h </w:instrText>
        </w:r>
        <w:r>
          <w:rPr>
            <w:noProof/>
            <w:webHidden/>
          </w:rPr>
        </w:r>
        <w:r>
          <w:rPr>
            <w:noProof/>
            <w:webHidden/>
          </w:rPr>
          <w:fldChar w:fldCharType="separate"/>
        </w:r>
        <w:r>
          <w:rPr>
            <w:noProof/>
            <w:webHidden/>
          </w:rPr>
          <w:t>31</w:t>
        </w:r>
        <w:r>
          <w:rPr>
            <w:noProof/>
            <w:webHidden/>
          </w:rPr>
          <w:fldChar w:fldCharType="end"/>
        </w:r>
      </w:hyperlink>
    </w:p>
    <w:p w14:paraId="20B58F56" w14:textId="6011DFD9" w:rsidR="00BF612E" w:rsidRDefault="00BF612E">
      <w:pPr>
        <w:pStyle w:val="Sommario1"/>
        <w:tabs>
          <w:tab w:val="right" w:leader="dot" w:pos="9638"/>
        </w:tabs>
        <w:rPr>
          <w:noProof/>
        </w:rPr>
      </w:pPr>
      <w:hyperlink w:anchor="_Toc229487781" w:history="1">
        <w:r w:rsidRPr="00883457">
          <w:rPr>
            <w:rStyle w:val="Collegamentoipertestuale"/>
            <w:noProof/>
          </w:rPr>
          <w:t>Annex Q. Child Safeguarding and Age-Uncertainty Protocol</w:t>
        </w:r>
        <w:r>
          <w:rPr>
            <w:noProof/>
            <w:webHidden/>
          </w:rPr>
          <w:tab/>
        </w:r>
        <w:r>
          <w:rPr>
            <w:noProof/>
            <w:webHidden/>
          </w:rPr>
          <w:fldChar w:fldCharType="begin"/>
        </w:r>
        <w:r>
          <w:rPr>
            <w:noProof/>
            <w:webHidden/>
          </w:rPr>
          <w:instrText xml:space="preserve"> PAGEREF _Toc229487781 \h </w:instrText>
        </w:r>
        <w:r>
          <w:rPr>
            <w:noProof/>
            <w:webHidden/>
          </w:rPr>
        </w:r>
        <w:r>
          <w:rPr>
            <w:noProof/>
            <w:webHidden/>
          </w:rPr>
          <w:fldChar w:fldCharType="separate"/>
        </w:r>
        <w:r>
          <w:rPr>
            <w:noProof/>
            <w:webHidden/>
          </w:rPr>
          <w:t>32</w:t>
        </w:r>
        <w:r>
          <w:rPr>
            <w:noProof/>
            <w:webHidden/>
          </w:rPr>
          <w:fldChar w:fldCharType="end"/>
        </w:r>
      </w:hyperlink>
    </w:p>
    <w:p w14:paraId="704899C0" w14:textId="37D36E90" w:rsidR="00BF612E" w:rsidRDefault="00BF612E">
      <w:pPr>
        <w:pStyle w:val="Sommario1"/>
        <w:tabs>
          <w:tab w:val="right" w:leader="dot" w:pos="9638"/>
        </w:tabs>
        <w:rPr>
          <w:noProof/>
        </w:rPr>
      </w:pPr>
      <w:hyperlink w:anchor="_Toc229487782" w:history="1">
        <w:r w:rsidRPr="00883457">
          <w:rPr>
            <w:rStyle w:val="Collegamentoipertestuale"/>
            <w:noProof/>
          </w:rPr>
          <w:t>Annex R. Media, Communication, and Public Information Protocol</w:t>
        </w:r>
        <w:r>
          <w:rPr>
            <w:noProof/>
            <w:webHidden/>
          </w:rPr>
          <w:tab/>
        </w:r>
        <w:r>
          <w:rPr>
            <w:noProof/>
            <w:webHidden/>
          </w:rPr>
          <w:fldChar w:fldCharType="begin"/>
        </w:r>
        <w:r>
          <w:rPr>
            <w:noProof/>
            <w:webHidden/>
          </w:rPr>
          <w:instrText xml:space="preserve"> PAGEREF _Toc229487782 \h </w:instrText>
        </w:r>
        <w:r>
          <w:rPr>
            <w:noProof/>
            <w:webHidden/>
          </w:rPr>
        </w:r>
        <w:r>
          <w:rPr>
            <w:noProof/>
            <w:webHidden/>
          </w:rPr>
          <w:fldChar w:fldCharType="separate"/>
        </w:r>
        <w:r>
          <w:rPr>
            <w:noProof/>
            <w:webHidden/>
          </w:rPr>
          <w:t>33</w:t>
        </w:r>
        <w:r>
          <w:rPr>
            <w:noProof/>
            <w:webHidden/>
          </w:rPr>
          <w:fldChar w:fldCharType="end"/>
        </w:r>
      </w:hyperlink>
    </w:p>
    <w:p w14:paraId="2C3F4DD7" w14:textId="0F4E7E4E" w:rsidR="00BF612E" w:rsidRDefault="00BF612E">
      <w:pPr>
        <w:pStyle w:val="Sommario1"/>
        <w:tabs>
          <w:tab w:val="right" w:leader="dot" w:pos="9638"/>
        </w:tabs>
        <w:rPr>
          <w:noProof/>
        </w:rPr>
      </w:pPr>
      <w:hyperlink w:anchor="_Toc229487783" w:history="1">
        <w:r w:rsidRPr="00883457">
          <w:rPr>
            <w:rStyle w:val="Collegamentoipertestuale"/>
            <w:noProof/>
          </w:rPr>
          <w:t>Annex S. Quality Assurance Checklist for Technology-Enabled Investigations</w:t>
        </w:r>
        <w:r>
          <w:rPr>
            <w:noProof/>
            <w:webHidden/>
          </w:rPr>
          <w:tab/>
        </w:r>
        <w:r>
          <w:rPr>
            <w:noProof/>
            <w:webHidden/>
          </w:rPr>
          <w:fldChar w:fldCharType="begin"/>
        </w:r>
        <w:r>
          <w:rPr>
            <w:noProof/>
            <w:webHidden/>
          </w:rPr>
          <w:instrText xml:space="preserve"> PAGEREF _Toc229487783 \h </w:instrText>
        </w:r>
        <w:r>
          <w:rPr>
            <w:noProof/>
            <w:webHidden/>
          </w:rPr>
        </w:r>
        <w:r>
          <w:rPr>
            <w:noProof/>
            <w:webHidden/>
          </w:rPr>
          <w:fldChar w:fldCharType="separate"/>
        </w:r>
        <w:r>
          <w:rPr>
            <w:noProof/>
            <w:webHidden/>
          </w:rPr>
          <w:t>33</w:t>
        </w:r>
        <w:r>
          <w:rPr>
            <w:noProof/>
            <w:webHidden/>
          </w:rPr>
          <w:fldChar w:fldCharType="end"/>
        </w:r>
      </w:hyperlink>
    </w:p>
    <w:p w14:paraId="139A0AF3" w14:textId="0B190579" w:rsidR="00BF612E" w:rsidRDefault="00BF612E">
      <w:pPr>
        <w:pStyle w:val="Sommario1"/>
        <w:tabs>
          <w:tab w:val="right" w:leader="dot" w:pos="9638"/>
        </w:tabs>
        <w:rPr>
          <w:noProof/>
        </w:rPr>
      </w:pPr>
      <w:hyperlink w:anchor="_Toc229487784" w:history="1">
        <w:r w:rsidRPr="00883457">
          <w:rPr>
            <w:rStyle w:val="Collegamentoipertestuale"/>
            <w:noProof/>
          </w:rPr>
          <w:t>Annex T. Sample Quarterly Review Agenda</w:t>
        </w:r>
        <w:r>
          <w:rPr>
            <w:noProof/>
            <w:webHidden/>
          </w:rPr>
          <w:tab/>
        </w:r>
        <w:r>
          <w:rPr>
            <w:noProof/>
            <w:webHidden/>
          </w:rPr>
          <w:fldChar w:fldCharType="begin"/>
        </w:r>
        <w:r>
          <w:rPr>
            <w:noProof/>
            <w:webHidden/>
          </w:rPr>
          <w:instrText xml:space="preserve"> PAGEREF _Toc229487784 \h </w:instrText>
        </w:r>
        <w:r>
          <w:rPr>
            <w:noProof/>
            <w:webHidden/>
          </w:rPr>
        </w:r>
        <w:r>
          <w:rPr>
            <w:noProof/>
            <w:webHidden/>
          </w:rPr>
          <w:fldChar w:fldCharType="separate"/>
        </w:r>
        <w:r>
          <w:rPr>
            <w:noProof/>
            <w:webHidden/>
          </w:rPr>
          <w:t>34</w:t>
        </w:r>
        <w:r>
          <w:rPr>
            <w:noProof/>
            <w:webHidden/>
          </w:rPr>
          <w:fldChar w:fldCharType="end"/>
        </w:r>
      </w:hyperlink>
    </w:p>
    <w:p w14:paraId="17A2B797" w14:textId="7164B797" w:rsidR="00BF612E" w:rsidRDefault="00BF612E">
      <w:pPr>
        <w:pStyle w:val="Sommario1"/>
        <w:tabs>
          <w:tab w:val="right" w:leader="dot" w:pos="9638"/>
        </w:tabs>
        <w:rPr>
          <w:noProof/>
        </w:rPr>
      </w:pPr>
      <w:hyperlink w:anchor="_Toc229487785" w:history="1">
        <w:r w:rsidRPr="00883457">
          <w:rPr>
            <w:rStyle w:val="Collegamentoipertestuale"/>
            <w:noProof/>
          </w:rPr>
          <w:t>Annex U. Minimum Documentation Pack for Each Pilot Case</w:t>
        </w:r>
        <w:r>
          <w:rPr>
            <w:noProof/>
            <w:webHidden/>
          </w:rPr>
          <w:tab/>
        </w:r>
        <w:r>
          <w:rPr>
            <w:noProof/>
            <w:webHidden/>
          </w:rPr>
          <w:fldChar w:fldCharType="begin"/>
        </w:r>
        <w:r>
          <w:rPr>
            <w:noProof/>
            <w:webHidden/>
          </w:rPr>
          <w:instrText xml:space="preserve"> PAGEREF _Toc229487785 \h </w:instrText>
        </w:r>
        <w:r>
          <w:rPr>
            <w:noProof/>
            <w:webHidden/>
          </w:rPr>
        </w:r>
        <w:r>
          <w:rPr>
            <w:noProof/>
            <w:webHidden/>
          </w:rPr>
          <w:fldChar w:fldCharType="separate"/>
        </w:r>
        <w:r>
          <w:rPr>
            <w:noProof/>
            <w:webHidden/>
          </w:rPr>
          <w:t>34</w:t>
        </w:r>
        <w:r>
          <w:rPr>
            <w:noProof/>
            <w:webHidden/>
          </w:rPr>
          <w:fldChar w:fldCharType="end"/>
        </w:r>
      </w:hyperlink>
    </w:p>
    <w:p w14:paraId="5869CEE1" w14:textId="2CAAE20F" w:rsidR="00BF612E" w:rsidRDefault="00BF612E">
      <w:pPr>
        <w:pStyle w:val="Sommario1"/>
        <w:tabs>
          <w:tab w:val="right" w:leader="dot" w:pos="9638"/>
        </w:tabs>
        <w:rPr>
          <w:noProof/>
        </w:rPr>
      </w:pPr>
      <w:hyperlink w:anchor="_Toc229487786" w:history="1">
        <w:r w:rsidRPr="00883457">
          <w:rPr>
            <w:rStyle w:val="Collegamentoipertestuale"/>
            <w:noProof/>
          </w:rPr>
          <w:t>Closing Note</w:t>
        </w:r>
        <w:r>
          <w:rPr>
            <w:noProof/>
            <w:webHidden/>
          </w:rPr>
          <w:tab/>
        </w:r>
        <w:r>
          <w:rPr>
            <w:noProof/>
            <w:webHidden/>
          </w:rPr>
          <w:fldChar w:fldCharType="begin"/>
        </w:r>
        <w:r>
          <w:rPr>
            <w:noProof/>
            <w:webHidden/>
          </w:rPr>
          <w:instrText xml:space="preserve"> PAGEREF _Toc229487786 \h </w:instrText>
        </w:r>
        <w:r>
          <w:rPr>
            <w:noProof/>
            <w:webHidden/>
          </w:rPr>
        </w:r>
        <w:r>
          <w:rPr>
            <w:noProof/>
            <w:webHidden/>
          </w:rPr>
          <w:fldChar w:fldCharType="separate"/>
        </w:r>
        <w:r>
          <w:rPr>
            <w:noProof/>
            <w:webHidden/>
          </w:rPr>
          <w:t>34</w:t>
        </w:r>
        <w:r>
          <w:rPr>
            <w:noProof/>
            <w:webHidden/>
          </w:rPr>
          <w:fldChar w:fldCharType="end"/>
        </w:r>
      </w:hyperlink>
    </w:p>
    <w:p w14:paraId="2773D1D9" w14:textId="6E328253" w:rsidR="00CF2C65" w:rsidRDefault="00EF3343">
      <w:r>
        <w:fldChar w:fldCharType="end"/>
      </w:r>
    </w:p>
    <w:p w14:paraId="2146472D" w14:textId="77777777" w:rsidR="00CF2C65" w:rsidRDefault="00EF3343">
      <w:r>
        <w:br w:type="page"/>
      </w:r>
    </w:p>
    <w:p w14:paraId="20255EEB" w14:textId="77777777" w:rsidR="00CF2C65" w:rsidRDefault="00EF3343">
      <w:pPr>
        <w:pStyle w:val="Titolo1"/>
      </w:pPr>
      <w:bookmarkStart w:id="1" w:name="_Toc229487743"/>
      <w:r>
        <w:lastRenderedPageBreak/>
        <w:t>Executive Summary</w:t>
      </w:r>
      <w:bookmarkEnd w:id="1"/>
    </w:p>
    <w:p w14:paraId="54B7217B" w14:textId="77777777" w:rsidR="00CF2C65" w:rsidRDefault="00EF3343">
      <w:r>
        <w:t>This toolkit provides a practical multi-agency framework for countering trafficking in human beings (THB) in digital and hybrid environments. It is designed for police services, prosecutors, judges, labour inspectorates, anti-trafficking NGOs, victim-support organisations, social services, migration and asylum authorities, cybercrime units, financial investigators, municipal authorities, communication teams, and selected private-sector partners. The toolkit reflects the operational logic of INTERCEPTED: rec</w:t>
      </w:r>
      <w:r>
        <w:t>ruitment and advertisement are key interception points; OSINT is not an end in itself but one part of an integrated OSINT-HUMINT-SIGINT cycle; and digital detection must be connected to victim protection, admissible evidence, and coordinated action in the physical world.</w:t>
      </w:r>
    </w:p>
    <w:p w14:paraId="108C49CC" w14:textId="77777777" w:rsidR="00CF2C65" w:rsidRDefault="00EF3343">
      <w:r>
        <w:t xml:space="preserve">The underlying project rationale is that trafficking has become more digitised, more adaptive, and more deeply embedded in routine online behaviour. Recruitment may occur via social media, messaging applications, online marketplaces, job boards, or closed groups. Exploitation may be advertised on public websites, semi-open communities, livestreaming channels, or application-based micro-markets. Traffickers use digital tools not only to recruit and advertise but also to manage logistics, intimidate victims, </w:t>
      </w:r>
      <w:r>
        <w:t>move victims between cities or countries, collect payments, and launder proceeds. The toolkit therefore adopts a whole-system approach: prevention, detection, investigation, referral, assistance, prosecution, and strategic communication must reinforce each other rather than function as separate silos.</w:t>
      </w:r>
    </w:p>
    <w:p w14:paraId="70F7CFFA" w14:textId="77777777" w:rsidR="00CF2C65" w:rsidRDefault="00EF3343">
      <w:r>
        <w:t>This document is deliberately operational. It translates the strategic and technological ambitions visible in INTERCEPTED Part B, the D1.4 tendered acquisitions, and the D3.3 investigative handbook into implementable structures, workflows, templates, checklists, and minimum standards. It also integrates victim-centred principles from referral-mechanism guidance and ethical communication principles from media guidance, so that digital capability is balanced by legality, proportionality, safeguarding, and int</w:t>
      </w:r>
      <w:r>
        <w:t>er-agency accountability.</w:t>
      </w:r>
    </w:p>
    <w:p w14:paraId="6DF2A4DA" w14:textId="77777777" w:rsidR="00CF2C65" w:rsidRDefault="00EF3343">
      <w:r>
        <w:t>The toolkit is organised in three layers. The first layer defines the shared operating model: governance, legal and ethical baseline, role allocation, information-sharing, and risk management. The second layer sets out operational workflows: online detection, triage, case development, victim identification and referral, digital-evidence handling, financial tracing, and public-private prevention campaigns. The third layer provides implementation support: maturity assessment, training standards, equipment use</w:t>
      </w:r>
      <w:r>
        <w:t xml:space="preserve"> cases, sample templates, indicators, and suggested deliverables for pilot activities. Used as a package, these elements can support both local operational teams and transnational project pilots.</w:t>
      </w:r>
    </w:p>
    <w:p w14:paraId="4A1A4D90" w14:textId="77777777" w:rsidR="00CE7A7B" w:rsidRDefault="00CE7A7B"/>
    <w:p w14:paraId="0EDF0C4D" w14:textId="77777777" w:rsidR="00CE7A7B" w:rsidRDefault="00CE7A7B" w:rsidP="00CE7A7B">
      <w:pPr>
        <w:pStyle w:val="Titolo1"/>
      </w:pPr>
      <w:bookmarkStart w:id="2" w:name="_Toc229487744"/>
      <w:r>
        <w:lastRenderedPageBreak/>
        <w:t>References and Source Base Used for This Draft</w:t>
      </w:r>
      <w:bookmarkEnd w:id="2"/>
    </w:p>
    <w:p w14:paraId="1DE7A836" w14:textId="77777777" w:rsidR="00CE7A7B" w:rsidRDefault="00CE7A7B" w:rsidP="00CE7A7B">
      <w:r>
        <w:t>This working draft was developed primarily from the following uploaded project and reference materials: INTERCEPTED Part B / Description of the Action; D1.4 Tender; D3.3 Handbook for Investigations and Counter-THB Campaigns; Directive 2011/36/EU; the EU Strategy on Combatting Trafficking in Human Beings 2021-2025; the Italian National Referral Mechanism (2023); the GRETA report on online and technology-facilitated trafficking in human beings; the UNODC Global Report on Trafficking in Persons 2022; the Eurojust outcome report of the specialised prosecutors focus group; Europol material on trafficking in the digital era; and selected media and ethical-reporting guidance documents.</w:t>
      </w:r>
    </w:p>
    <w:p w14:paraId="1DB048A1" w14:textId="64F26BA0" w:rsidR="00CE7A7B" w:rsidRDefault="00CE7A7B" w:rsidP="00CE7A7B">
      <w:r>
        <w:t>Because dedicated course files were not separately available among the uploaded materials, course-derived elements have been incorporated mainly through the D3.3 handbook and the training/equipment architecture described in the D1.4 tender. Users may wish to modify, enrich or reduce this draft with partner-specific SOPs, national legal references, and outputs from delivered project training before formal submission as D4.1.</w:t>
      </w:r>
    </w:p>
    <w:p w14:paraId="10AB22EE" w14:textId="77777777" w:rsidR="00CF2C65" w:rsidRDefault="00EF3343">
      <w:pPr>
        <w:pStyle w:val="Titolo1"/>
      </w:pPr>
      <w:bookmarkStart w:id="3" w:name="_Toc229487745"/>
      <w:r>
        <w:t>1. Purpose, Scope, and Users of the Toolkit</w:t>
      </w:r>
      <w:bookmarkEnd w:id="3"/>
    </w:p>
    <w:p w14:paraId="1067AEF3" w14:textId="77777777" w:rsidR="00CF2C65" w:rsidRDefault="00EF3343">
      <w:r>
        <w:t>The purpose of this toolkit is to help agencies work together faster, more safely, and more effectively when trafficking indicators emerge online or in blended online/offline settings. It is not a substitute for national law, criminal procedure, evidence rules, or victim-protection mandates. Instead, it is a structured aid for planning, coordination, and operational consistency.</w:t>
      </w:r>
    </w:p>
    <w:p w14:paraId="74AF5360" w14:textId="77777777" w:rsidR="00CF2C65" w:rsidRDefault="00EF3343">
      <w:r>
        <w:t>The toolkit covers three broad intervention domains. First, prevention: identifying risk environments, producing targeted awareness and disruption campaigns, and engaging private actors that may hold useful data or moderation capabilities. Second, enforcement and justice: detecting online indicators, generating intelligence leads, preserving and converting digital traces into evidence, and building coordinated prosecutorial strategies. Third, protection and referral: ensuring that the identification of vict</w:t>
      </w:r>
      <w:r>
        <w:t>ims or presumed victims leads rapidly to safe accommodation, interpretation, legal counselling, healthcare, psychological support, and access to justice.</w:t>
      </w:r>
    </w:p>
    <w:p w14:paraId="051E8570" w14:textId="77777777" w:rsidR="00CF2C65" w:rsidRDefault="00EF3343">
      <w:r>
        <w:t>The intended users include front-line police officers, specialised anti-trafficking investigators, prosecutors, investigative judges, labour inspectors, financial intelligence staff, cyber analysts, municipal services, anti-trafficking NGOs, victim support providers, media and communication professionals, hotline managers, and platform or service-provider liaison officers. Different parts of the toolkit can be used by different actors, but the strongest results will come when agencies adopt a shared workflo</w:t>
      </w:r>
      <w:r>
        <w:t>w and common vocabulary.</w:t>
      </w:r>
    </w:p>
    <w:p w14:paraId="7EF1BB07" w14:textId="77777777" w:rsidR="00CF2C65" w:rsidRDefault="00EF3343">
      <w:pPr>
        <w:pStyle w:val="Puntoelenco"/>
      </w:pPr>
      <w:r>
        <w:lastRenderedPageBreak/>
        <w:t>Primary operational scope: online recruitment, online advertisement, platform-enabled control, and digitally supported exploitation.</w:t>
      </w:r>
    </w:p>
    <w:p w14:paraId="1AA0F53B" w14:textId="77777777" w:rsidR="00CF2C65" w:rsidRDefault="00EF3343">
      <w:pPr>
        <w:pStyle w:val="Puntoelenco"/>
      </w:pPr>
      <w:r>
        <w:t>Secondary operational scope: victim identification, referral, safeguarding, financial follow-the-money work, and public-private prevention activities.</w:t>
      </w:r>
    </w:p>
    <w:p w14:paraId="2BEC8B50" w14:textId="77777777" w:rsidR="00CF2C65" w:rsidRDefault="00EF3343">
      <w:pPr>
        <w:pStyle w:val="Puntoelenco"/>
      </w:pPr>
      <w:r>
        <w:t>Geographic orientation: adaptable to the Central European and Western Balkan route, while remaining transferable to other contexts.</w:t>
      </w:r>
    </w:p>
    <w:p w14:paraId="2CA93C5A" w14:textId="77777777" w:rsidR="00CF2C65" w:rsidRDefault="00EF3343">
      <w:pPr>
        <w:pStyle w:val="Puntoelenco"/>
      </w:pPr>
      <w:r>
        <w:t>Case typologies: sexual exploitation, labour exploitation, forced criminality, forced begging, child exploitation, and mixed-exploitation patterns.</w:t>
      </w:r>
    </w:p>
    <w:p w14:paraId="737D1CB0" w14:textId="77777777" w:rsidR="00CF2C65" w:rsidRDefault="00EF3343">
      <w:pPr>
        <w:pStyle w:val="Puntoelenco"/>
      </w:pPr>
      <w:r>
        <w:t>User principle: every digital lead must be assessed both as an investigative opportunity and as a possible safeguarding signal.</w:t>
      </w:r>
    </w:p>
    <w:p w14:paraId="21C27D88" w14:textId="77777777" w:rsidR="00CF2C65" w:rsidRDefault="00EF3343">
      <w:pPr>
        <w:pStyle w:val="Titolo1"/>
      </w:pPr>
      <w:bookmarkStart w:id="4" w:name="_Toc229487746"/>
      <w:r>
        <w:t>2. Strategic Context for INTERCEPTED</w:t>
      </w:r>
      <w:bookmarkEnd w:id="4"/>
    </w:p>
    <w:p w14:paraId="3D568BF8" w14:textId="77777777" w:rsidR="00CF2C65" w:rsidRDefault="00EF3343">
      <w:r>
        <w:t>INTERCEPTED was conceived against a backdrop of rising digitalisation across the trafficking chain. The project description highlights that recruitment, advertisement, exploitation, and proceeds management have all shifted further online. It also stresses that trafficking methods vary according to exploitation type, victim profile, language, platform ecology, and local criminal business models. A toolkit for practice therefore cannot rely on a single stereotype of trafficking. It must support differentiated</w:t>
      </w:r>
      <w:r>
        <w:t xml:space="preserve"> detection and differentiated response.</w:t>
      </w:r>
    </w:p>
    <w:p w14:paraId="3C448076" w14:textId="77777777" w:rsidR="00CF2C65" w:rsidRDefault="00EF3343">
      <w:r>
        <w:t>A second strategic theme is the need to bridge cyberspace and the physical world. Digital traces become meaningful only when linked to victims, suspects, infrastructures, service providers, vehicles, accommodation, payment channels, and local opportunity structures. The operational challenge is not simply to collect more online data. It is to convert online signals into lawful, timely, and coordinated action that protects people and improves case outcomes.</w:t>
      </w:r>
    </w:p>
    <w:p w14:paraId="2B0100C4" w14:textId="77777777" w:rsidR="00CF2C65" w:rsidRDefault="00EF3343">
      <w:r>
        <w:t>A third theme is public-private cooperation. INTERCEPTED frames OSINT as useful for both investigation and prevention. On the investigative side, OSINT can generate leads and enrich the OSINT-HUMINT-SIGINT cycle. On the preventive side, open-source insights can help design targeted communication responses, including behavioural, matched-data, and location-based interventions aimed at disrupting recruitment narratives and raising awareness among at-risk communities. This requires governance arrangements that</w:t>
      </w:r>
      <w:r>
        <w:t xml:space="preserve"> are careful, proportionate, and rights-respecting.</w:t>
      </w:r>
    </w:p>
    <w:p w14:paraId="60872722" w14:textId="77777777" w:rsidR="00CF2C65" w:rsidRDefault="00EF3343">
      <w:r>
        <w:t>Finally, the project emphasises capability-building. Training, technological integration, and structured exchange across agencies are not peripheral. They are core project outputs. For D4.1 to be usable, it must therefore connect doctrine, workflows, and equipment in a way that teams can actually implement.</w:t>
      </w:r>
    </w:p>
    <w:tbl>
      <w:tblPr>
        <w:tblStyle w:val="Grigliatabella"/>
        <w:tblW w:w="0" w:type="auto"/>
        <w:jc w:val="center"/>
        <w:tblLook w:val="04A0" w:firstRow="1" w:lastRow="0" w:firstColumn="1" w:lastColumn="0" w:noHBand="0" w:noVBand="1"/>
      </w:tblPr>
      <w:tblGrid>
        <w:gridCol w:w="4819"/>
        <w:gridCol w:w="4819"/>
      </w:tblGrid>
      <w:tr w:rsidR="00CF2C65" w14:paraId="5134105A" w14:textId="77777777">
        <w:trPr>
          <w:jc w:val="center"/>
        </w:trPr>
        <w:tc>
          <w:tcPr>
            <w:tcW w:w="4824" w:type="dxa"/>
            <w:shd w:val="clear" w:color="auto" w:fill="D9EAF7"/>
            <w:vAlign w:val="center"/>
          </w:tcPr>
          <w:p w14:paraId="3BF52B94" w14:textId="77777777" w:rsidR="00CF2C65" w:rsidRDefault="00EF3343">
            <w:r>
              <w:rPr>
                <w:b/>
              </w:rPr>
              <w:lastRenderedPageBreak/>
              <w:t>Strategic driver</w:t>
            </w:r>
          </w:p>
        </w:tc>
        <w:tc>
          <w:tcPr>
            <w:tcW w:w="4824" w:type="dxa"/>
            <w:shd w:val="clear" w:color="auto" w:fill="D9EAF7"/>
            <w:vAlign w:val="center"/>
          </w:tcPr>
          <w:p w14:paraId="479599A4" w14:textId="77777777" w:rsidR="00CF2C65" w:rsidRDefault="00EF3343">
            <w:r>
              <w:rPr>
                <w:b/>
              </w:rPr>
              <w:t>Operational implication for D4.1</w:t>
            </w:r>
          </w:p>
        </w:tc>
      </w:tr>
      <w:tr w:rsidR="00CF2C65" w14:paraId="75B82567" w14:textId="77777777">
        <w:trPr>
          <w:jc w:val="center"/>
        </w:trPr>
        <w:tc>
          <w:tcPr>
            <w:tcW w:w="4824" w:type="dxa"/>
            <w:vAlign w:val="center"/>
          </w:tcPr>
          <w:p w14:paraId="55643C7D" w14:textId="77777777" w:rsidR="00CF2C65" w:rsidRDefault="00EF3343">
            <w:r>
              <w:t>Digitisation of the trafficking chain</w:t>
            </w:r>
          </w:p>
        </w:tc>
        <w:tc>
          <w:tcPr>
            <w:tcW w:w="4824" w:type="dxa"/>
            <w:vAlign w:val="center"/>
          </w:tcPr>
          <w:p w14:paraId="0171618E" w14:textId="77777777" w:rsidR="00CF2C65" w:rsidRDefault="00EF3343">
            <w:r>
              <w:t>Online detection capacity must be integrated with victim referral, evidence preservation, and offline intervention.</w:t>
            </w:r>
          </w:p>
        </w:tc>
      </w:tr>
      <w:tr w:rsidR="00CF2C65" w14:paraId="50465D61" w14:textId="77777777">
        <w:trPr>
          <w:jc w:val="center"/>
        </w:trPr>
        <w:tc>
          <w:tcPr>
            <w:tcW w:w="4824" w:type="dxa"/>
            <w:vAlign w:val="center"/>
          </w:tcPr>
          <w:p w14:paraId="347FCFB0" w14:textId="77777777" w:rsidR="00CF2C65" w:rsidRDefault="00EF3343">
            <w:r>
              <w:t>Different victim profiles and exploitation types</w:t>
            </w:r>
          </w:p>
        </w:tc>
        <w:tc>
          <w:tcPr>
            <w:tcW w:w="4824" w:type="dxa"/>
            <w:vAlign w:val="center"/>
          </w:tcPr>
          <w:p w14:paraId="264F6E47" w14:textId="77777777" w:rsidR="00CF2C65" w:rsidRDefault="00EF3343">
            <w:r>
              <w:t>Indicators, risk scoring, and response models must be tailored rather than generic.</w:t>
            </w:r>
          </w:p>
        </w:tc>
      </w:tr>
      <w:tr w:rsidR="00CF2C65" w14:paraId="04E1018C" w14:textId="77777777">
        <w:trPr>
          <w:jc w:val="center"/>
        </w:trPr>
        <w:tc>
          <w:tcPr>
            <w:tcW w:w="4824" w:type="dxa"/>
            <w:vAlign w:val="center"/>
          </w:tcPr>
          <w:p w14:paraId="367925EF" w14:textId="77777777" w:rsidR="00CF2C65" w:rsidRDefault="00EF3343">
            <w:r>
              <w:t>Public-private cooperation</w:t>
            </w:r>
          </w:p>
        </w:tc>
        <w:tc>
          <w:tcPr>
            <w:tcW w:w="4824" w:type="dxa"/>
            <w:vAlign w:val="center"/>
          </w:tcPr>
          <w:p w14:paraId="60B1178A" w14:textId="77777777" w:rsidR="00CF2C65" w:rsidRDefault="00EF3343">
            <w:r>
              <w:t>Governance rules, lawful data access, and clear partner roles are essential.</w:t>
            </w:r>
          </w:p>
        </w:tc>
      </w:tr>
      <w:tr w:rsidR="00CF2C65" w14:paraId="20BF0532" w14:textId="77777777">
        <w:trPr>
          <w:jc w:val="center"/>
        </w:trPr>
        <w:tc>
          <w:tcPr>
            <w:tcW w:w="4824" w:type="dxa"/>
            <w:vAlign w:val="center"/>
          </w:tcPr>
          <w:p w14:paraId="4705075D" w14:textId="77777777" w:rsidR="00CF2C65" w:rsidRDefault="00EF3343">
            <w:r>
              <w:t>Need for stronger digital capability</w:t>
            </w:r>
          </w:p>
        </w:tc>
        <w:tc>
          <w:tcPr>
            <w:tcW w:w="4824" w:type="dxa"/>
            <w:vAlign w:val="center"/>
          </w:tcPr>
          <w:p w14:paraId="26F85AC5" w14:textId="77777777" w:rsidR="00CF2C65" w:rsidRDefault="00EF3343">
            <w:r>
              <w:t>Training, equipment, workflows, and supervision must be treated as one capability package.</w:t>
            </w:r>
          </w:p>
        </w:tc>
      </w:tr>
      <w:tr w:rsidR="00CF2C65" w14:paraId="5EA2C194" w14:textId="77777777">
        <w:trPr>
          <w:jc w:val="center"/>
        </w:trPr>
        <w:tc>
          <w:tcPr>
            <w:tcW w:w="4824" w:type="dxa"/>
            <w:vAlign w:val="center"/>
          </w:tcPr>
          <w:p w14:paraId="5B370988" w14:textId="77777777" w:rsidR="00CF2C65" w:rsidRDefault="00EF3343">
            <w:r>
              <w:t>Cross-border case dynamics</w:t>
            </w:r>
          </w:p>
        </w:tc>
        <w:tc>
          <w:tcPr>
            <w:tcW w:w="4824" w:type="dxa"/>
            <w:vAlign w:val="center"/>
          </w:tcPr>
          <w:p w14:paraId="6975935A" w14:textId="77777777" w:rsidR="00CF2C65" w:rsidRDefault="00EF3343">
            <w:r>
              <w:t>Case escalation, coordination channels, and evidence-sharing procedures must be planned from the outset.</w:t>
            </w:r>
          </w:p>
        </w:tc>
      </w:tr>
    </w:tbl>
    <w:p w14:paraId="24E93B76" w14:textId="77777777" w:rsidR="00CF2C65" w:rsidRDefault="00CF2C65"/>
    <w:p w14:paraId="229AD88A" w14:textId="77777777" w:rsidR="00CF2C65" w:rsidRDefault="00EF3343">
      <w:pPr>
        <w:pStyle w:val="Titolo1"/>
      </w:pPr>
      <w:bookmarkStart w:id="5" w:name="_Toc229487747"/>
      <w:r>
        <w:t>3. Design Principles for a Multi-Agency Anti-Trafficking Response</w:t>
      </w:r>
      <w:bookmarkEnd w:id="5"/>
    </w:p>
    <w:p w14:paraId="2971E23A" w14:textId="77777777" w:rsidR="00CF2C65" w:rsidRDefault="00EF3343">
      <w:r>
        <w:t>This toolkit rests on ten design principles. These principles should be used as a reference point when setting up local protocols, evaluating partner performance, or resolving disputes about priorities. They are intended to keep the system operational without losing sight of legality and victim protection.</w:t>
      </w:r>
    </w:p>
    <w:p w14:paraId="11009879" w14:textId="77777777" w:rsidR="00CF2C65" w:rsidRDefault="00EF3343">
      <w:r>
        <w:t>The first principle is victim-centred action. A victim-centred model does not mean abandoning intelligence or prosecution goals; it means ensuring that the dignity, safety, informed consent, and recovery needs of the person remain central. The second principle is early, multi-source identification. No single actor sees the whole picture, so frontline observations, hotline reports, NGO outreach, digital monitoring, labour inspections, border encounters, and financial anomalies should all be treated as potent</w:t>
      </w:r>
      <w:r>
        <w:t>ially relevant signals.</w:t>
      </w:r>
    </w:p>
    <w:p w14:paraId="5EE625C8" w14:textId="77777777" w:rsidR="00CF2C65" w:rsidRDefault="00EF3343">
      <w:r>
        <w:t>The third principle is proportionality. Digital tools can widen investigative reach, but not every online suspicion justifies intrusive measures. The fourth principle is traceability: the path from open-source lead to court-ready evidence must be documented. The fifth principle is role clarity. Cooperation fails when everyone is involved but nobody is responsible. The sixth principle is data minimisation and lawful sharing. The seventh is rapid referral. The eighth is financial disruption. The ninth is stra</w:t>
      </w:r>
      <w:r>
        <w:t>tegic communication. The tenth is continuous learning through review and training.</w:t>
      </w:r>
    </w:p>
    <w:p w14:paraId="3E4462F7" w14:textId="77777777" w:rsidR="00CF2C65" w:rsidRDefault="00EF3343">
      <w:pPr>
        <w:pStyle w:val="Numeroelenco"/>
      </w:pPr>
      <w:r>
        <w:lastRenderedPageBreak/>
        <w:t>Put victim safety and informed choice at the centre of all operational decisions.</w:t>
      </w:r>
    </w:p>
    <w:p w14:paraId="60957A7D" w14:textId="77777777" w:rsidR="00CF2C65" w:rsidRDefault="00EF3343">
      <w:pPr>
        <w:pStyle w:val="Numeroelenco"/>
      </w:pPr>
      <w:r>
        <w:t>Build cases from combined signals rather than relying on one indicator or one agency.</w:t>
      </w:r>
    </w:p>
    <w:p w14:paraId="618908AA" w14:textId="77777777" w:rsidR="00CF2C65" w:rsidRDefault="00EF3343">
      <w:pPr>
        <w:pStyle w:val="Numeroelenco"/>
      </w:pPr>
      <w:r>
        <w:t>Use the least intrusive lawful measure capable of achieving the operational objective.</w:t>
      </w:r>
    </w:p>
    <w:p w14:paraId="611E5A3E" w14:textId="77777777" w:rsidR="00CF2C65" w:rsidRDefault="00EF3343">
      <w:pPr>
        <w:pStyle w:val="Numeroelenco"/>
      </w:pPr>
      <w:r>
        <w:t>Preserve evidential integrity from the first digital capture onward.</w:t>
      </w:r>
    </w:p>
    <w:p w14:paraId="6478D95C" w14:textId="77777777" w:rsidR="00CF2C65" w:rsidRDefault="00EF3343">
      <w:pPr>
        <w:pStyle w:val="Numeroelenco"/>
      </w:pPr>
      <w:r>
        <w:t>Assign a lead agency and named focal points for every operational thread.</w:t>
      </w:r>
    </w:p>
    <w:p w14:paraId="0B377A4A" w14:textId="77777777" w:rsidR="00CF2C65" w:rsidRDefault="00EF3343">
      <w:pPr>
        <w:pStyle w:val="Numeroelenco"/>
      </w:pPr>
      <w:r>
        <w:t>Share only what is necessary, lawful, and relevant, using auditable procedures.</w:t>
      </w:r>
    </w:p>
    <w:p w14:paraId="6A5B1085" w14:textId="77777777" w:rsidR="00CF2C65" w:rsidRDefault="00EF3343">
      <w:pPr>
        <w:pStyle w:val="Numeroelenco"/>
      </w:pPr>
      <w:r>
        <w:t>Trigger referral and first assistance rapidly when a presumed victim is identified.</w:t>
      </w:r>
    </w:p>
    <w:p w14:paraId="42959B87" w14:textId="77777777" w:rsidR="00CF2C65" w:rsidRDefault="00EF3343">
      <w:pPr>
        <w:pStyle w:val="Numeroelenco"/>
      </w:pPr>
      <w:r>
        <w:t>Include financial intelligence and asset-disruption measures early in case planning.</w:t>
      </w:r>
    </w:p>
    <w:p w14:paraId="007C6263" w14:textId="77777777" w:rsidR="00CF2C65" w:rsidRDefault="00EF3343">
      <w:pPr>
        <w:pStyle w:val="Numeroelenco"/>
      </w:pPr>
      <w:r>
        <w:t>Use communication activity strategically, not only reactively, to reduce harm and demand.</w:t>
      </w:r>
    </w:p>
    <w:p w14:paraId="3ED7295C" w14:textId="77777777" w:rsidR="00CF2C65" w:rsidRDefault="00EF3343">
      <w:pPr>
        <w:pStyle w:val="Numeroelenco"/>
      </w:pPr>
      <w:r>
        <w:t>Review outcomes, feed lessons into training, and update indicators and procedures routinely.</w:t>
      </w:r>
    </w:p>
    <w:p w14:paraId="5F5A8D81" w14:textId="77777777" w:rsidR="00CF2C65" w:rsidRDefault="00EF3343">
      <w:pPr>
        <w:pStyle w:val="Titolo1"/>
      </w:pPr>
      <w:bookmarkStart w:id="6" w:name="_Toc229487748"/>
      <w:r>
        <w:t>4. Governance Model and Role Allocation</w:t>
      </w:r>
      <w:bookmarkEnd w:id="6"/>
    </w:p>
    <w:p w14:paraId="2FF3866D" w14:textId="77777777" w:rsidR="00CF2C65" w:rsidRDefault="00EF3343">
      <w:r>
        <w:t>A practical multi-agency mechanism requires a governance model that distinguishes strategic direction, operational coordination, and case-level action. Many anti-trafficking partnerships fail not because partners disagree on goals, but because they mix these levels. The toolkit therefore recommends a three-tier governance structure.</w:t>
      </w:r>
    </w:p>
    <w:p w14:paraId="2C78C10A" w14:textId="77777777" w:rsidR="00CF2C65" w:rsidRDefault="00EF3343">
      <w:r>
        <w:t>Tier 1 is the Steering Group. It sets priorities, approves operating protocols, monitors legal and ethical compliance, reviews risks, and allocates resources. It should include senior representatives from the lead law-enforcement body, prosecution, municipality or relevant public authority, victim-support and NGO coordination, labour inspection where relevant, and a data-protection or legal adviser. Tier 2 is the Operational Coordination Group. It translates strategy into workflows, manages deconfliction, o</w:t>
      </w:r>
      <w:r>
        <w:t>versees training and technology use, and reviews thematic intelligence. Tier 3 is the Case Action Team. It is activated around a specific investigation, hotspot, or campaign and includes only the actors needed for that activity.</w:t>
      </w:r>
    </w:p>
    <w:p w14:paraId="2F927460" w14:textId="77777777" w:rsidR="00CF2C65" w:rsidRDefault="00EF3343">
      <w:r>
        <w:t>Each participating organisation should nominate both a decision-maker and an operational focal point. The lead agency should not monopolise activity; however, it should be responsible for chairing meetings, maintaining the action log, ensuring decisions are minuted, and triggering escalation when thresholds are crossed. For transnational matters, one additional focal point should manage external cooperation and judicial coordination.</w:t>
      </w:r>
    </w:p>
    <w:tbl>
      <w:tblPr>
        <w:tblStyle w:val="Grigliatabella"/>
        <w:tblW w:w="0" w:type="auto"/>
        <w:jc w:val="center"/>
        <w:tblLook w:val="04A0" w:firstRow="1" w:lastRow="0" w:firstColumn="1" w:lastColumn="0" w:noHBand="0" w:noVBand="1"/>
      </w:tblPr>
      <w:tblGrid>
        <w:gridCol w:w="3212"/>
        <w:gridCol w:w="3213"/>
        <w:gridCol w:w="3213"/>
      </w:tblGrid>
      <w:tr w:rsidR="00CF2C65" w14:paraId="0E9A2828" w14:textId="77777777">
        <w:trPr>
          <w:jc w:val="center"/>
        </w:trPr>
        <w:tc>
          <w:tcPr>
            <w:tcW w:w="3216" w:type="dxa"/>
            <w:shd w:val="clear" w:color="auto" w:fill="D9EAF7"/>
            <w:vAlign w:val="center"/>
          </w:tcPr>
          <w:p w14:paraId="20875541" w14:textId="77777777" w:rsidR="00CF2C65" w:rsidRDefault="00EF3343">
            <w:r>
              <w:rPr>
                <w:b/>
              </w:rPr>
              <w:t>Function</w:t>
            </w:r>
          </w:p>
        </w:tc>
        <w:tc>
          <w:tcPr>
            <w:tcW w:w="3216" w:type="dxa"/>
            <w:shd w:val="clear" w:color="auto" w:fill="D9EAF7"/>
            <w:vAlign w:val="center"/>
          </w:tcPr>
          <w:p w14:paraId="02DE51F1" w14:textId="77777777" w:rsidR="00CF2C65" w:rsidRDefault="00EF3343">
            <w:r>
              <w:rPr>
                <w:b/>
              </w:rPr>
              <w:t>Typical members</w:t>
            </w:r>
          </w:p>
        </w:tc>
        <w:tc>
          <w:tcPr>
            <w:tcW w:w="3216" w:type="dxa"/>
            <w:shd w:val="clear" w:color="auto" w:fill="D9EAF7"/>
            <w:vAlign w:val="center"/>
          </w:tcPr>
          <w:p w14:paraId="25FA4E4A" w14:textId="77777777" w:rsidR="00CF2C65" w:rsidRDefault="00EF3343">
            <w:r>
              <w:rPr>
                <w:b/>
              </w:rPr>
              <w:t>Core responsibilities</w:t>
            </w:r>
          </w:p>
        </w:tc>
      </w:tr>
      <w:tr w:rsidR="00CF2C65" w14:paraId="0E896A6F" w14:textId="77777777">
        <w:trPr>
          <w:jc w:val="center"/>
        </w:trPr>
        <w:tc>
          <w:tcPr>
            <w:tcW w:w="3216" w:type="dxa"/>
            <w:vAlign w:val="center"/>
          </w:tcPr>
          <w:p w14:paraId="4B0344A5" w14:textId="77777777" w:rsidR="00CF2C65" w:rsidRDefault="00EF3343">
            <w:r>
              <w:t>Steering Group</w:t>
            </w:r>
          </w:p>
        </w:tc>
        <w:tc>
          <w:tcPr>
            <w:tcW w:w="3216" w:type="dxa"/>
            <w:vAlign w:val="center"/>
          </w:tcPr>
          <w:p w14:paraId="576D5E08" w14:textId="77777777" w:rsidR="00CF2C65" w:rsidRDefault="00EF3343">
            <w:r>
              <w:t xml:space="preserve">Senior LEA, prosecutor, municipal/public authority, </w:t>
            </w:r>
            <w:r>
              <w:lastRenderedPageBreak/>
              <w:t>NGO coordinator, labour inspection, legal/DPO</w:t>
            </w:r>
          </w:p>
        </w:tc>
        <w:tc>
          <w:tcPr>
            <w:tcW w:w="3216" w:type="dxa"/>
            <w:vAlign w:val="center"/>
          </w:tcPr>
          <w:p w14:paraId="19BD4EEC" w14:textId="77777777" w:rsidR="00CF2C65" w:rsidRDefault="00EF3343">
            <w:r>
              <w:lastRenderedPageBreak/>
              <w:t xml:space="preserve">Set priorities, approve protocols, resolve barriers, </w:t>
            </w:r>
            <w:r>
              <w:lastRenderedPageBreak/>
              <w:t>monitor compliance and performance.</w:t>
            </w:r>
          </w:p>
        </w:tc>
      </w:tr>
      <w:tr w:rsidR="00CF2C65" w14:paraId="75CC78A6" w14:textId="77777777">
        <w:trPr>
          <w:jc w:val="center"/>
        </w:trPr>
        <w:tc>
          <w:tcPr>
            <w:tcW w:w="3216" w:type="dxa"/>
            <w:vAlign w:val="center"/>
          </w:tcPr>
          <w:p w14:paraId="48C4EEBA" w14:textId="77777777" w:rsidR="00CF2C65" w:rsidRDefault="00EF3343">
            <w:r>
              <w:lastRenderedPageBreak/>
              <w:t>Operational Coordination Group</w:t>
            </w:r>
          </w:p>
        </w:tc>
        <w:tc>
          <w:tcPr>
            <w:tcW w:w="3216" w:type="dxa"/>
            <w:vAlign w:val="center"/>
          </w:tcPr>
          <w:p w14:paraId="46073D92" w14:textId="77777777" w:rsidR="00CF2C65" w:rsidRDefault="00EF3343">
            <w:r>
              <w:t>Supervisors, analysts, victim-support lead, campaign lead, platform liaison</w:t>
            </w:r>
          </w:p>
        </w:tc>
        <w:tc>
          <w:tcPr>
            <w:tcW w:w="3216" w:type="dxa"/>
            <w:vAlign w:val="center"/>
          </w:tcPr>
          <w:p w14:paraId="1ED1E860" w14:textId="77777777" w:rsidR="00CF2C65" w:rsidRDefault="00EF3343">
            <w:r>
              <w:t>Translate strategy into action, supervise workflows, share trends, coordinate training and equipment use.</w:t>
            </w:r>
          </w:p>
        </w:tc>
      </w:tr>
      <w:tr w:rsidR="00CF2C65" w14:paraId="73314094" w14:textId="77777777">
        <w:trPr>
          <w:jc w:val="center"/>
        </w:trPr>
        <w:tc>
          <w:tcPr>
            <w:tcW w:w="3216" w:type="dxa"/>
            <w:vAlign w:val="center"/>
          </w:tcPr>
          <w:p w14:paraId="403D66F9" w14:textId="77777777" w:rsidR="00CF2C65" w:rsidRDefault="00EF3343">
            <w:r>
              <w:t>Case Action Team</w:t>
            </w:r>
          </w:p>
        </w:tc>
        <w:tc>
          <w:tcPr>
            <w:tcW w:w="3216" w:type="dxa"/>
            <w:vAlign w:val="center"/>
          </w:tcPr>
          <w:p w14:paraId="0EA4433D" w14:textId="77777777" w:rsidR="00CF2C65" w:rsidRDefault="00EF3343">
            <w:r>
              <w:t>Investigators, prosecutor, analyst, safeguarding lead, NGO case manager, technical specialist</w:t>
            </w:r>
          </w:p>
        </w:tc>
        <w:tc>
          <w:tcPr>
            <w:tcW w:w="3216" w:type="dxa"/>
            <w:vAlign w:val="center"/>
          </w:tcPr>
          <w:p w14:paraId="4EB43A66" w14:textId="77777777" w:rsidR="00CF2C65" w:rsidRDefault="00EF3343">
            <w:r>
              <w:t>Run case-specific activity, preserve evidence, plan interventions, manage referrals and review outcomes.</w:t>
            </w:r>
          </w:p>
        </w:tc>
      </w:tr>
    </w:tbl>
    <w:p w14:paraId="438772B0" w14:textId="77777777" w:rsidR="00CF2C65" w:rsidRDefault="00CF2C65"/>
    <w:p w14:paraId="3E47ACC5" w14:textId="77777777" w:rsidR="00CF2C65" w:rsidRDefault="00EF3343">
      <w:pPr>
        <w:pStyle w:val="Titolo1"/>
      </w:pPr>
      <w:bookmarkStart w:id="7" w:name="_Toc229487749"/>
      <w:r>
        <w:t>5. The Operating Environment: How Trafficking Uses Digital Space</w:t>
      </w:r>
      <w:bookmarkEnd w:id="7"/>
    </w:p>
    <w:p w14:paraId="5EBBCB72" w14:textId="77777777" w:rsidR="00CF2C65" w:rsidRDefault="00EF3343">
      <w:r>
        <w:t xml:space="preserve">Traffickers use digital environments in layered ways. Open platforms may be used for visibility and initial contact; semi-closed spaces for grooming, screening, negotiation, or movement; and private channels for control, payment coordination, and threat. A single case can move through all three layers. Investigators and referral actors should therefore avoid treating “online trafficking” as one thing. The same victim may be recruited on social media, advertised on specialist or general websites, controlled </w:t>
      </w:r>
      <w:r>
        <w:t>via messaging applications, moved using ride or travel services, and paid through cash, remittances, digital wallets, or hybrid informal channels.</w:t>
      </w:r>
    </w:p>
    <w:p w14:paraId="6578B1FF" w14:textId="77777777" w:rsidR="00CF2C65" w:rsidRDefault="00EF3343">
      <w:r>
        <w:t>The toolkit recommends five digital-environment categories: broad social platforms; classified and marketplace platforms; dedicated or stand-alone websites; encrypted or semi-private messaging spaces; and financial/utility infrastructures such as payment services, hosting, cloud storage, SIM registration, mobility services, or delivery applications. Different agencies will have different lawful access and different leverage in relation to each category.</w:t>
      </w:r>
    </w:p>
    <w:p w14:paraId="62517ED1" w14:textId="77777777" w:rsidR="00CF2C65" w:rsidRDefault="00EF3343">
      <w:r>
        <w:t>A multi-agency team should also recognise the operational difference between overt indicators and latent indicators. Overt indicators are visible: repeated sexual-service ads, suspicious job offers, identical contact numbers, improbable salaries, or movement instructions. Latent indicators emerge only through combination: repeated use of the same images with different names, clustered accommodation addresses, common travel routes, shared moderators, or correlations between outreach reports and digital activ</w:t>
      </w:r>
      <w:r>
        <w:t>ity.</w:t>
      </w:r>
    </w:p>
    <w:p w14:paraId="6B7B0971" w14:textId="77777777" w:rsidR="00CF2C65" w:rsidRDefault="00EF3343">
      <w:pPr>
        <w:pStyle w:val="Puntoelenco"/>
      </w:pPr>
      <w:r>
        <w:lastRenderedPageBreak/>
        <w:t>Recruitment channels may include job boards, social media profiles, dating or friendship platforms, message groups, gaming environments, and diaspora support spaces.</w:t>
      </w:r>
    </w:p>
    <w:p w14:paraId="6A261501" w14:textId="77777777" w:rsidR="00CF2C65" w:rsidRDefault="00EF3343">
      <w:pPr>
        <w:pStyle w:val="Puntoelenco"/>
      </w:pPr>
      <w:r>
        <w:t>Advertisement channels may include escort sites, adult-service websites, coded social posts, local classifieds, and service directories.</w:t>
      </w:r>
    </w:p>
    <w:p w14:paraId="5200C95D" w14:textId="77777777" w:rsidR="00CF2C65" w:rsidRDefault="00EF3343">
      <w:pPr>
        <w:pStyle w:val="Puntoelenco"/>
      </w:pPr>
      <w:r>
        <w:t>Control mechanisms may include blackmail, image-based abuse, geolocation, debt messaging, threats to relatives, or digital monitoring of contacts.</w:t>
      </w:r>
    </w:p>
    <w:p w14:paraId="0339D43F" w14:textId="77777777" w:rsidR="00CF2C65" w:rsidRDefault="00EF3343">
      <w:pPr>
        <w:pStyle w:val="Puntoelenco"/>
      </w:pPr>
      <w:r>
        <w:t>Payment and laundering channels may include cash collection, prepaid cards, remittance services, fintech products, wallets, mule accounts, and crypto-enabled conversion chains.</w:t>
      </w:r>
    </w:p>
    <w:p w14:paraId="5C903819" w14:textId="77777777" w:rsidR="00CF2C65" w:rsidRDefault="00EF3343">
      <w:pPr>
        <w:pStyle w:val="Puntoelenco"/>
      </w:pPr>
      <w:r>
        <w:t>Digital activity almost always has an offline anchor: accommodation, transport, identity documents, worksite management, local enforcers, or local service providers.</w:t>
      </w:r>
    </w:p>
    <w:p w14:paraId="23C4EE4E" w14:textId="77777777" w:rsidR="00CF2C65" w:rsidRDefault="00EF3343">
      <w:pPr>
        <w:pStyle w:val="Titolo1"/>
      </w:pPr>
      <w:bookmarkStart w:id="8" w:name="_Toc229487750"/>
      <w:r>
        <w:t>6. Core Multi-Agency Workflow from Signal to Outcome</w:t>
      </w:r>
      <w:bookmarkEnd w:id="8"/>
    </w:p>
    <w:p w14:paraId="54F6DAEF" w14:textId="77777777" w:rsidR="00CF2C65" w:rsidRDefault="00EF3343">
      <w:r>
        <w:t>The heart of the toolkit is a common workflow. Partners should agree this workflow in advance and adapt thresholds to national procedure. The purpose is to reduce delay and confusion when a digital lead appears.</w:t>
      </w:r>
    </w:p>
    <w:p w14:paraId="6B58727F" w14:textId="77777777" w:rsidR="00CE7A7B" w:rsidRDefault="00EF3343">
      <w:r>
        <w:t xml:space="preserve">Stage 1 is signal acquisition. Signals may come from OSINT monitoring, hotline calls, victim disclosure, NGO outreach, labour inspection, border or migration encounters, community reporting, media monitoring, or partner referrals. </w:t>
      </w:r>
    </w:p>
    <w:p w14:paraId="1D39F04C" w14:textId="2505D210" w:rsidR="00CF2C65" w:rsidRDefault="00EF3343">
      <w:r>
        <w:t>Stage 2 is triage. The question here is not whether the case is already proven, but whether the signal is credible enough to justify recording, preservation, and a structured assessment.</w:t>
      </w:r>
    </w:p>
    <w:p w14:paraId="57941BDB" w14:textId="77777777" w:rsidR="00CE7A7B" w:rsidRDefault="00EF3343">
      <w:r>
        <w:t xml:space="preserve">Stage 3 is initial assessment and safeguarding. At this stage, investigators and protection actors jointly ask: Is there an immediate risk to a person? Is there a live exploitation environment? Is there a risk of evidence loss? </w:t>
      </w:r>
    </w:p>
    <w:p w14:paraId="018155EA" w14:textId="77777777" w:rsidR="00CE7A7B" w:rsidRDefault="00EF3343">
      <w:r>
        <w:t xml:space="preserve">Stage 4 is tasking. A lead agency is </w:t>
      </w:r>
      <w:proofErr w:type="gramStart"/>
      <w:r>
        <w:t>designated</w:t>
      </w:r>
      <w:proofErr w:type="gramEnd"/>
      <w:r>
        <w:t xml:space="preserve"> and a case action team is formed. </w:t>
      </w:r>
    </w:p>
    <w:p w14:paraId="25A81133" w14:textId="77777777" w:rsidR="00CE7A7B" w:rsidRDefault="00EF3343">
      <w:r>
        <w:t xml:space="preserve">Stage 5 is development. Digital indicators are enriched with human-source information, documentary checks, financial traces, and partner intelligence. </w:t>
      </w:r>
    </w:p>
    <w:p w14:paraId="4D986B4A" w14:textId="77777777" w:rsidR="00CE7A7B" w:rsidRDefault="00EF3343">
      <w:r>
        <w:t xml:space="preserve">Stage 6 is operational decision: monitor further, intervene immediately, open a formal investigation, trigger judicial cooperation, or close and retain for intelligence monitoring. </w:t>
      </w:r>
    </w:p>
    <w:p w14:paraId="52C4558C" w14:textId="3BA8963D" w:rsidR="00CF2C65" w:rsidRDefault="00EF3343">
      <w:r>
        <w:t>Stage 7 is review and learning.</w:t>
      </w:r>
    </w:p>
    <w:p w14:paraId="5112AFB4" w14:textId="77777777" w:rsidR="00CF2C65" w:rsidRDefault="00EF3343">
      <w:pPr>
        <w:pStyle w:val="Numeroelenco"/>
      </w:pPr>
      <w:r>
        <w:t>Record the signal and preserve the first-view evidence.</w:t>
      </w:r>
    </w:p>
    <w:p w14:paraId="54EB700B" w14:textId="77777777" w:rsidR="00CF2C65" w:rsidRDefault="00EF3343">
      <w:pPr>
        <w:pStyle w:val="Numeroelenco"/>
      </w:pPr>
      <w:r>
        <w:t>Assess urgency, victim risk, and evidence fragility.</w:t>
      </w:r>
    </w:p>
    <w:p w14:paraId="67364629" w14:textId="77777777" w:rsidR="00CF2C65" w:rsidRDefault="00EF3343">
      <w:pPr>
        <w:pStyle w:val="Numeroelenco"/>
      </w:pPr>
      <w:r>
        <w:t>Assign a lead and create a minimal case action team.</w:t>
      </w:r>
    </w:p>
    <w:p w14:paraId="282E8FE0" w14:textId="77777777" w:rsidR="00CF2C65" w:rsidRDefault="00EF3343">
      <w:pPr>
        <w:pStyle w:val="Numeroelenco"/>
      </w:pPr>
      <w:r>
        <w:lastRenderedPageBreak/>
        <w:t>Conduct structured enrichment using OSINT, HUMINT, SIGINT, administrative, and financial sources as law permits.</w:t>
      </w:r>
    </w:p>
    <w:p w14:paraId="1D525D51" w14:textId="77777777" w:rsidR="00CF2C65" w:rsidRDefault="00EF3343">
      <w:pPr>
        <w:pStyle w:val="Numeroelenco"/>
      </w:pPr>
      <w:r>
        <w:t>Trigger referral and first assistance for presumed victims without waiting for a complete criminal proof picture.</w:t>
      </w:r>
    </w:p>
    <w:p w14:paraId="7BD2B733" w14:textId="77777777" w:rsidR="00CF2C65" w:rsidRDefault="00EF3343">
      <w:pPr>
        <w:pStyle w:val="Numeroelenco"/>
      </w:pPr>
      <w:r>
        <w:t>Decide the operational path and document the rationale.</w:t>
      </w:r>
    </w:p>
    <w:p w14:paraId="5DCB2A5E" w14:textId="77777777" w:rsidR="00CF2C65" w:rsidRDefault="00EF3343">
      <w:pPr>
        <w:pStyle w:val="Numeroelenco"/>
      </w:pPr>
      <w:r>
        <w:t>Review outcome, update indicators, and feed lessons into future training and campaigns.</w:t>
      </w:r>
    </w:p>
    <w:p w14:paraId="56254851" w14:textId="77777777" w:rsidR="00CF2C65" w:rsidRDefault="00EF3343">
      <w:pPr>
        <w:pStyle w:val="Titolo1"/>
      </w:pPr>
      <w:bookmarkStart w:id="9" w:name="_Toc229487751"/>
      <w:r>
        <w:t>7. Indicators and Risk Flags for Online Recruitment</w:t>
      </w:r>
      <w:bookmarkEnd w:id="9"/>
    </w:p>
    <w:p w14:paraId="6F54220A" w14:textId="77777777" w:rsidR="00CF2C65" w:rsidRDefault="00EF3343">
      <w:r>
        <w:t>Indicators must be treated as decision-support tools, not as proof in themselves. The D3.3 logic is especially useful here: indicators should be adapted to exploitation type, platform type, language, and target profile. A toolkit that only reflects one form of sexual exploitation will miss labour exploitation, forced criminality, and mixed cases.</w:t>
      </w:r>
    </w:p>
    <w:p w14:paraId="09AAD8F1" w14:textId="77777777" w:rsidR="00CF2C65" w:rsidRDefault="00EF3343">
      <w:r>
        <w:t>Online recruitment indicators may be grouped into content indicators, behavioural indicators, network indicators, and contextual indicators. Content indicators include implausible wages, missing contract details, contradictory descriptions, pressure for immediate travel, or requests for document copies before basic terms are clarified. Behavioural indicators include rapid migration from public conversation to private messaging, grooming language, urgency, emotional dependency, or unusual insistence on secre</w:t>
      </w:r>
      <w:r>
        <w:t>cy. Network indicators include linked accounts, recurring phone numbers, reused imagery, or moderator patterns across groups. Contextual indicators include targeting of vulnerable communities, crisis-affected populations, irregular status groups, or persons visibly seeking urgent work or accommodation.</w:t>
      </w:r>
    </w:p>
    <w:tbl>
      <w:tblPr>
        <w:tblStyle w:val="Grigliatabella"/>
        <w:tblW w:w="0" w:type="auto"/>
        <w:jc w:val="center"/>
        <w:tblLook w:val="04A0" w:firstRow="1" w:lastRow="0" w:firstColumn="1" w:lastColumn="0" w:noHBand="0" w:noVBand="1"/>
      </w:tblPr>
      <w:tblGrid>
        <w:gridCol w:w="3212"/>
        <w:gridCol w:w="3212"/>
        <w:gridCol w:w="3214"/>
      </w:tblGrid>
      <w:tr w:rsidR="00CF2C65" w14:paraId="2BFD37ED" w14:textId="77777777">
        <w:trPr>
          <w:jc w:val="center"/>
        </w:trPr>
        <w:tc>
          <w:tcPr>
            <w:tcW w:w="3216" w:type="dxa"/>
            <w:shd w:val="clear" w:color="auto" w:fill="D9EAF7"/>
            <w:vAlign w:val="center"/>
          </w:tcPr>
          <w:p w14:paraId="7A513A0A" w14:textId="77777777" w:rsidR="00CF2C65" w:rsidRDefault="00EF3343">
            <w:r>
              <w:rPr>
                <w:b/>
              </w:rPr>
              <w:t>Indicator family</w:t>
            </w:r>
          </w:p>
        </w:tc>
        <w:tc>
          <w:tcPr>
            <w:tcW w:w="3216" w:type="dxa"/>
            <w:shd w:val="clear" w:color="auto" w:fill="D9EAF7"/>
            <w:vAlign w:val="center"/>
          </w:tcPr>
          <w:p w14:paraId="192C7D15" w14:textId="77777777" w:rsidR="00CF2C65" w:rsidRDefault="00EF3343">
            <w:r>
              <w:rPr>
                <w:b/>
              </w:rPr>
              <w:t>Examples</w:t>
            </w:r>
          </w:p>
        </w:tc>
        <w:tc>
          <w:tcPr>
            <w:tcW w:w="3216" w:type="dxa"/>
            <w:shd w:val="clear" w:color="auto" w:fill="D9EAF7"/>
            <w:vAlign w:val="center"/>
          </w:tcPr>
          <w:p w14:paraId="5AC75463" w14:textId="77777777" w:rsidR="00CF2C65" w:rsidRDefault="00EF3343">
            <w:r>
              <w:rPr>
                <w:b/>
              </w:rPr>
              <w:t>Recommended response</w:t>
            </w:r>
          </w:p>
        </w:tc>
      </w:tr>
      <w:tr w:rsidR="00CF2C65" w14:paraId="0731C12D" w14:textId="77777777">
        <w:trPr>
          <w:jc w:val="center"/>
        </w:trPr>
        <w:tc>
          <w:tcPr>
            <w:tcW w:w="3216" w:type="dxa"/>
            <w:vAlign w:val="center"/>
          </w:tcPr>
          <w:p w14:paraId="2C575065" w14:textId="77777777" w:rsidR="00CF2C65" w:rsidRDefault="00EF3343">
            <w:r>
              <w:t>Content</w:t>
            </w:r>
          </w:p>
        </w:tc>
        <w:tc>
          <w:tcPr>
            <w:tcW w:w="3216" w:type="dxa"/>
            <w:vAlign w:val="center"/>
          </w:tcPr>
          <w:p w14:paraId="2CB40F9B" w14:textId="77777777" w:rsidR="00CF2C65" w:rsidRDefault="00EF3343">
            <w:r>
              <w:t>Unrealistic wages, vague duties, “no experience needed”, paid travel with debt to be repaid</w:t>
            </w:r>
          </w:p>
        </w:tc>
        <w:tc>
          <w:tcPr>
            <w:tcW w:w="3216" w:type="dxa"/>
            <w:vAlign w:val="center"/>
          </w:tcPr>
          <w:p w14:paraId="12C769C7" w14:textId="77777777" w:rsidR="00CF2C65" w:rsidRDefault="00EF3343">
            <w:r>
              <w:t>Preserve screenshots, compare with known patterns, assess for labour/sexual exploitation indicators.</w:t>
            </w:r>
          </w:p>
        </w:tc>
      </w:tr>
      <w:tr w:rsidR="00CF2C65" w14:paraId="6C9187DB" w14:textId="77777777">
        <w:trPr>
          <w:jc w:val="center"/>
        </w:trPr>
        <w:tc>
          <w:tcPr>
            <w:tcW w:w="3216" w:type="dxa"/>
            <w:vAlign w:val="center"/>
          </w:tcPr>
          <w:p w14:paraId="1ACC9293" w14:textId="77777777" w:rsidR="00CF2C65" w:rsidRDefault="00EF3343">
            <w:r>
              <w:t>Behaviour</w:t>
            </w:r>
          </w:p>
        </w:tc>
        <w:tc>
          <w:tcPr>
            <w:tcW w:w="3216" w:type="dxa"/>
            <w:vAlign w:val="center"/>
          </w:tcPr>
          <w:p w14:paraId="351FBFDC" w14:textId="77777777" w:rsidR="00CF2C65" w:rsidRDefault="00EF3343">
            <w:r>
              <w:t>Fast move to encrypted chat, pressure, romance grooming, document requests</w:t>
            </w:r>
          </w:p>
        </w:tc>
        <w:tc>
          <w:tcPr>
            <w:tcW w:w="3216" w:type="dxa"/>
            <w:vAlign w:val="center"/>
          </w:tcPr>
          <w:p w14:paraId="1E102614" w14:textId="77777777" w:rsidR="00CF2C65" w:rsidRDefault="00EF3343">
            <w:r>
              <w:t>Record timeline, assess urgency and possible victim contact strategy.</w:t>
            </w:r>
          </w:p>
        </w:tc>
      </w:tr>
      <w:tr w:rsidR="00CF2C65" w14:paraId="78A131C2" w14:textId="77777777">
        <w:trPr>
          <w:jc w:val="center"/>
        </w:trPr>
        <w:tc>
          <w:tcPr>
            <w:tcW w:w="3216" w:type="dxa"/>
            <w:vAlign w:val="center"/>
          </w:tcPr>
          <w:p w14:paraId="2615DE69" w14:textId="77777777" w:rsidR="00CF2C65" w:rsidRDefault="00EF3343">
            <w:r>
              <w:lastRenderedPageBreak/>
              <w:t>Network</w:t>
            </w:r>
          </w:p>
        </w:tc>
        <w:tc>
          <w:tcPr>
            <w:tcW w:w="3216" w:type="dxa"/>
            <w:vAlign w:val="center"/>
          </w:tcPr>
          <w:p w14:paraId="300233BE" w14:textId="77777777" w:rsidR="00CF2C65" w:rsidRDefault="00EF3343">
            <w:r>
              <w:t>Shared numbers, repeated usernames, reused profile photos, clustered IP/hosting or admin patterns</w:t>
            </w:r>
          </w:p>
        </w:tc>
        <w:tc>
          <w:tcPr>
            <w:tcW w:w="3216" w:type="dxa"/>
            <w:vAlign w:val="center"/>
          </w:tcPr>
          <w:p w14:paraId="5F87D271" w14:textId="77777777" w:rsidR="00CF2C65" w:rsidRDefault="00EF3343">
            <w:r>
              <w:t>Task analyst for entity correlation and infrastructure mapping.</w:t>
            </w:r>
          </w:p>
        </w:tc>
      </w:tr>
      <w:tr w:rsidR="00CF2C65" w14:paraId="2055E6CC" w14:textId="77777777">
        <w:trPr>
          <w:jc w:val="center"/>
        </w:trPr>
        <w:tc>
          <w:tcPr>
            <w:tcW w:w="3216" w:type="dxa"/>
            <w:vAlign w:val="center"/>
          </w:tcPr>
          <w:p w14:paraId="5AFED137" w14:textId="77777777" w:rsidR="00CF2C65" w:rsidRDefault="00EF3343">
            <w:r>
              <w:t>Context</w:t>
            </w:r>
          </w:p>
        </w:tc>
        <w:tc>
          <w:tcPr>
            <w:tcW w:w="3216" w:type="dxa"/>
            <w:vAlign w:val="center"/>
          </w:tcPr>
          <w:p w14:paraId="7CAD20FD" w14:textId="77777777" w:rsidR="00CF2C65" w:rsidRDefault="00EF3343">
            <w:r>
              <w:t>Targeting of migrants, minors, crisis-displaced persons, financially distressed job seekers</w:t>
            </w:r>
          </w:p>
        </w:tc>
        <w:tc>
          <w:tcPr>
            <w:tcW w:w="3216" w:type="dxa"/>
            <w:vAlign w:val="center"/>
          </w:tcPr>
          <w:p w14:paraId="18D78D56" w14:textId="77777777" w:rsidR="00CF2C65" w:rsidRDefault="00EF3343">
            <w:r>
              <w:t>Engage safeguarding/referral actors and adapt communication response.</w:t>
            </w:r>
          </w:p>
        </w:tc>
      </w:tr>
    </w:tbl>
    <w:p w14:paraId="1A83EFB0" w14:textId="77777777" w:rsidR="00CF2C65" w:rsidRDefault="00CF2C65"/>
    <w:p w14:paraId="528EE2AB" w14:textId="77777777" w:rsidR="00CF2C65" w:rsidRDefault="00EF3343">
      <w:pPr>
        <w:pStyle w:val="Titolo1"/>
      </w:pPr>
      <w:bookmarkStart w:id="10" w:name="_Toc229487752"/>
      <w:r>
        <w:t>8. Indicators and Risk Flags for Online Advertisement and Exploitation</w:t>
      </w:r>
      <w:bookmarkEnd w:id="10"/>
    </w:p>
    <w:p w14:paraId="4E9A88A5" w14:textId="77777777" w:rsidR="00CF2C65" w:rsidRDefault="00EF3343">
      <w:r>
        <w:t>Advertisement analysis is not limited to sexual-service environments. Online advertisement can also relate to labour, domestic work, begging, sham service provision, or criminal exploitation. The key question is whether the digital representation of a service hides coercion, dependency, or control.</w:t>
      </w:r>
    </w:p>
    <w:p w14:paraId="19790992" w14:textId="77777777" w:rsidR="00CF2C65" w:rsidRDefault="00EF3343">
      <w:r>
        <w:t>Frequent indicators include repeated use of the same images across locations; one controlling contact number for multiple supposed workers; unusually frequent relocation between cities; scripted or formulaic text blocks; price structures inconsistent with claimed autonomy; offers that erase the individual identity of the worker; and signs that the advertiser manages logistics centrally. For labour exploitation, indicators may include group accommodation tied to employment, recruitment fees, transport deduct</w:t>
      </w:r>
      <w:r>
        <w:t>ions, identity-document retention, absence of lawful employer details, or movement between worksites controlled by intermediaries.</w:t>
      </w:r>
    </w:p>
    <w:p w14:paraId="5370E188" w14:textId="77777777" w:rsidR="00CF2C65" w:rsidRDefault="00EF3343">
      <w:r>
        <w:t>Analysts should also assess victim-control indicators connected to advertisement ecosystems: instructions not to speak, signs of third-party response handling, high posting churn, intensive moderation, or online reputational management by controllers. In mixed environments, digital traces may show a business model that combines transport, accommodation, documents, labour brokerage, and sexual exploitation.</w:t>
      </w:r>
    </w:p>
    <w:p w14:paraId="2C8900CA" w14:textId="77777777" w:rsidR="00CF2C65" w:rsidRDefault="00EF3343">
      <w:pPr>
        <w:pStyle w:val="Puntoelenco"/>
      </w:pPr>
      <w:r>
        <w:t>Do not assume the visible advertiser is the organiser; advertisement handlers may be intermediaries.</w:t>
      </w:r>
    </w:p>
    <w:p w14:paraId="1EF00BD1" w14:textId="77777777" w:rsidR="00CF2C65" w:rsidRDefault="00EF3343">
      <w:pPr>
        <w:pStyle w:val="Puntoelenco"/>
      </w:pPr>
      <w:r>
        <w:t>Treat repeated relocation and repeated rebranding as possible indicators of control and evasion.</w:t>
      </w:r>
    </w:p>
    <w:p w14:paraId="7A0220DF" w14:textId="77777777" w:rsidR="00CF2C65" w:rsidRDefault="00EF3343">
      <w:pPr>
        <w:pStyle w:val="Puntoelenco"/>
      </w:pPr>
      <w:r>
        <w:t>Where adults appear to advertise autonomously, remain alert to debt, coercion, and hidden third-party management.</w:t>
      </w:r>
    </w:p>
    <w:p w14:paraId="3EB403F2" w14:textId="77777777" w:rsidR="00CF2C65" w:rsidRDefault="00EF3343">
      <w:pPr>
        <w:pStyle w:val="Puntoelenco"/>
      </w:pPr>
      <w:r>
        <w:lastRenderedPageBreak/>
        <w:t>Use image comparison, text comparison, phone and handle comparison, and hosting/domain review where lawful and feasible.</w:t>
      </w:r>
    </w:p>
    <w:p w14:paraId="1B083B59" w14:textId="77777777" w:rsidR="00CF2C65" w:rsidRDefault="00EF3343">
      <w:pPr>
        <w:pStyle w:val="Puntoelenco"/>
      </w:pPr>
      <w:r>
        <w:t>Map the advertisement ecosystem around the suspected victim, not only the single advert.</w:t>
      </w:r>
    </w:p>
    <w:p w14:paraId="25D99668" w14:textId="77777777" w:rsidR="00CF2C65" w:rsidRDefault="00EF3343">
      <w:pPr>
        <w:pStyle w:val="Titolo1"/>
      </w:pPr>
      <w:bookmarkStart w:id="11" w:name="_Toc229487753"/>
      <w:r>
        <w:t>9. The OSINT-HUMINT-SIGINT Cycle in Practice</w:t>
      </w:r>
      <w:bookmarkEnd w:id="11"/>
    </w:p>
    <w:p w14:paraId="276BDBCA" w14:textId="77777777" w:rsidR="00CF2C65" w:rsidRDefault="00EF3343">
      <w:r>
        <w:t>INTERCEPTED Part B explicitly frames OSINT as one part of a wider OSINT-HUMINT-SIGINT cycle. This is crucial. OSINT can reveal patterns, surfaces, and opportunities, but cases stall if digital observation is not translated into witness strategy, surveillance strategy, device strategy, and judicial strategy. The toolkit therefore recommends structured handoffs between analysts, investigators, and prosecutors.</w:t>
      </w:r>
    </w:p>
    <w:p w14:paraId="6FDB9D36" w14:textId="77777777" w:rsidR="00CF2C65" w:rsidRDefault="00EF3343">
      <w:r>
        <w:t>OSINT tasks include platform mapping, profile analysis, image and text comparison, infrastructure research, geolocation cues, and risk profiling. HUMINT tasks include victim and witness engagement, community-source development, partner debriefing, undercover or covert interaction where lawful, and local-site understanding. SIGINT or device-related tasks may include phone extraction, communications analysis, and lawful access to digital artefacts from seized devices or consent-based victim-device examination</w:t>
      </w:r>
      <w:r>
        <w:t>, depending on legal framework and procedural posture.</w:t>
      </w:r>
    </w:p>
    <w:p w14:paraId="572B0FBC" w14:textId="77777777" w:rsidR="00CF2C65" w:rsidRDefault="00EF3343">
      <w:r>
        <w:t>The cycle should be iterative. New HUMINT can refine keyword banks and platform focus. New SIGINT can validate or refute OSINT patterns. New OSINT can identify additional victims, facilitators, or demand-side nodes. Teams should avoid linear thinking. In trafficking, the value often lies in feedback loops.</w:t>
      </w:r>
    </w:p>
    <w:tbl>
      <w:tblPr>
        <w:tblStyle w:val="Grigliatabella"/>
        <w:tblW w:w="0" w:type="auto"/>
        <w:jc w:val="center"/>
        <w:tblLook w:val="04A0" w:firstRow="1" w:lastRow="0" w:firstColumn="1" w:lastColumn="0" w:noHBand="0" w:noVBand="1"/>
      </w:tblPr>
      <w:tblGrid>
        <w:gridCol w:w="3212"/>
        <w:gridCol w:w="3213"/>
        <w:gridCol w:w="3213"/>
      </w:tblGrid>
      <w:tr w:rsidR="00CF2C65" w14:paraId="740B1849" w14:textId="77777777">
        <w:trPr>
          <w:jc w:val="center"/>
        </w:trPr>
        <w:tc>
          <w:tcPr>
            <w:tcW w:w="3216" w:type="dxa"/>
            <w:shd w:val="clear" w:color="auto" w:fill="D9EAF7"/>
            <w:vAlign w:val="center"/>
          </w:tcPr>
          <w:p w14:paraId="2A078786" w14:textId="77777777" w:rsidR="00CF2C65" w:rsidRDefault="00EF3343">
            <w:r>
              <w:rPr>
                <w:b/>
              </w:rPr>
              <w:t>Cycle component</w:t>
            </w:r>
          </w:p>
        </w:tc>
        <w:tc>
          <w:tcPr>
            <w:tcW w:w="3216" w:type="dxa"/>
            <w:shd w:val="clear" w:color="auto" w:fill="D9EAF7"/>
            <w:vAlign w:val="center"/>
          </w:tcPr>
          <w:p w14:paraId="7DE6EC8D" w14:textId="77777777" w:rsidR="00CF2C65" w:rsidRDefault="00EF3343">
            <w:r>
              <w:rPr>
                <w:b/>
              </w:rPr>
              <w:t>Primary questions</w:t>
            </w:r>
          </w:p>
        </w:tc>
        <w:tc>
          <w:tcPr>
            <w:tcW w:w="3216" w:type="dxa"/>
            <w:shd w:val="clear" w:color="auto" w:fill="D9EAF7"/>
            <w:vAlign w:val="center"/>
          </w:tcPr>
          <w:p w14:paraId="1F0DEB5D" w14:textId="77777777" w:rsidR="00CF2C65" w:rsidRDefault="00EF3343">
            <w:r>
              <w:rPr>
                <w:b/>
              </w:rPr>
              <w:t>Outputs</w:t>
            </w:r>
          </w:p>
        </w:tc>
      </w:tr>
      <w:tr w:rsidR="00CF2C65" w14:paraId="19D172E2" w14:textId="77777777">
        <w:trPr>
          <w:jc w:val="center"/>
        </w:trPr>
        <w:tc>
          <w:tcPr>
            <w:tcW w:w="3216" w:type="dxa"/>
            <w:vAlign w:val="center"/>
          </w:tcPr>
          <w:p w14:paraId="68AFAFFD" w14:textId="77777777" w:rsidR="00CF2C65" w:rsidRDefault="00EF3343">
            <w:r>
              <w:t>OSINT</w:t>
            </w:r>
          </w:p>
        </w:tc>
        <w:tc>
          <w:tcPr>
            <w:tcW w:w="3216" w:type="dxa"/>
            <w:vAlign w:val="center"/>
          </w:tcPr>
          <w:p w14:paraId="36FF6656" w14:textId="77777777" w:rsidR="00CF2C65" w:rsidRDefault="00EF3343">
            <w:r>
              <w:t>What is visible? Who is connected? Where is activity occurring? What patterns repeat?</w:t>
            </w:r>
          </w:p>
        </w:tc>
        <w:tc>
          <w:tcPr>
            <w:tcW w:w="3216" w:type="dxa"/>
            <w:vAlign w:val="center"/>
          </w:tcPr>
          <w:p w14:paraId="7F05BA85" w14:textId="77777777" w:rsidR="00CF2C65" w:rsidRDefault="00EF3343">
            <w:r>
              <w:t>Lead generation, risk maps, account/entity links, preserved online traces.</w:t>
            </w:r>
          </w:p>
        </w:tc>
      </w:tr>
      <w:tr w:rsidR="00CF2C65" w14:paraId="1726F154" w14:textId="77777777">
        <w:trPr>
          <w:jc w:val="center"/>
        </w:trPr>
        <w:tc>
          <w:tcPr>
            <w:tcW w:w="3216" w:type="dxa"/>
            <w:vAlign w:val="center"/>
          </w:tcPr>
          <w:p w14:paraId="1331179B" w14:textId="77777777" w:rsidR="00CF2C65" w:rsidRDefault="00EF3343">
            <w:r>
              <w:t>HUMINT</w:t>
            </w:r>
          </w:p>
        </w:tc>
        <w:tc>
          <w:tcPr>
            <w:tcW w:w="3216" w:type="dxa"/>
            <w:vAlign w:val="center"/>
          </w:tcPr>
          <w:p w14:paraId="5D633E11" w14:textId="77777777" w:rsidR="00CF2C65" w:rsidRDefault="00EF3343">
            <w:r>
              <w:t>Who knows the local reality? Who can clarify coercion, control, or movement?</w:t>
            </w:r>
          </w:p>
        </w:tc>
        <w:tc>
          <w:tcPr>
            <w:tcW w:w="3216" w:type="dxa"/>
            <w:vAlign w:val="center"/>
          </w:tcPr>
          <w:p w14:paraId="43510B2F" w14:textId="77777777" w:rsidR="00CF2C65" w:rsidRDefault="00EF3343">
            <w:r>
              <w:t>Victim narratives, witness insight, local context, corroboration or refutation.</w:t>
            </w:r>
          </w:p>
        </w:tc>
      </w:tr>
      <w:tr w:rsidR="00CF2C65" w14:paraId="317E1DDD" w14:textId="77777777">
        <w:trPr>
          <w:jc w:val="center"/>
        </w:trPr>
        <w:tc>
          <w:tcPr>
            <w:tcW w:w="3216" w:type="dxa"/>
            <w:vAlign w:val="center"/>
          </w:tcPr>
          <w:p w14:paraId="4C04E288" w14:textId="77777777" w:rsidR="00CF2C65" w:rsidRDefault="00EF3343">
            <w:r>
              <w:t>SIGINT/device</w:t>
            </w:r>
          </w:p>
        </w:tc>
        <w:tc>
          <w:tcPr>
            <w:tcW w:w="3216" w:type="dxa"/>
            <w:vAlign w:val="center"/>
          </w:tcPr>
          <w:p w14:paraId="72734C07" w14:textId="77777777" w:rsidR="00CF2C65" w:rsidRDefault="00EF3343">
            <w:r>
              <w:t>What communication and artefacts can be lawfully examined?</w:t>
            </w:r>
          </w:p>
        </w:tc>
        <w:tc>
          <w:tcPr>
            <w:tcW w:w="3216" w:type="dxa"/>
            <w:vAlign w:val="center"/>
          </w:tcPr>
          <w:p w14:paraId="4C389377" w14:textId="77777777" w:rsidR="00CF2C65" w:rsidRDefault="00EF3343">
            <w:r>
              <w:t>Message trails, media, contact networks, location history, corroborative digital evidence.</w:t>
            </w:r>
          </w:p>
        </w:tc>
      </w:tr>
      <w:tr w:rsidR="00CF2C65" w14:paraId="6FBD0FC4" w14:textId="77777777">
        <w:trPr>
          <w:jc w:val="center"/>
        </w:trPr>
        <w:tc>
          <w:tcPr>
            <w:tcW w:w="3216" w:type="dxa"/>
            <w:vAlign w:val="center"/>
          </w:tcPr>
          <w:p w14:paraId="4E4C74C3" w14:textId="77777777" w:rsidR="00CF2C65" w:rsidRDefault="00EF3343">
            <w:r>
              <w:lastRenderedPageBreak/>
              <w:t>Integration</w:t>
            </w:r>
          </w:p>
        </w:tc>
        <w:tc>
          <w:tcPr>
            <w:tcW w:w="3216" w:type="dxa"/>
            <w:vAlign w:val="center"/>
          </w:tcPr>
          <w:p w14:paraId="66282FA2" w14:textId="77777777" w:rsidR="00CF2C65" w:rsidRDefault="00EF3343">
            <w:r>
              <w:t>How do the strands reinforce each other?</w:t>
            </w:r>
          </w:p>
        </w:tc>
        <w:tc>
          <w:tcPr>
            <w:tcW w:w="3216" w:type="dxa"/>
            <w:vAlign w:val="center"/>
          </w:tcPr>
          <w:p w14:paraId="2EB84F0A" w14:textId="77777777" w:rsidR="00CF2C65" w:rsidRDefault="00EF3343">
            <w:r>
              <w:t>Case theory, tasking priorities, evidential roadmap, operational decision.</w:t>
            </w:r>
          </w:p>
        </w:tc>
      </w:tr>
    </w:tbl>
    <w:p w14:paraId="4312C9F0" w14:textId="77777777" w:rsidR="00CF2C65" w:rsidRDefault="00CF2C65"/>
    <w:p w14:paraId="42D9E038" w14:textId="77777777" w:rsidR="00CF2C65" w:rsidRDefault="00EF3343">
      <w:pPr>
        <w:pStyle w:val="Titolo1"/>
      </w:pPr>
      <w:bookmarkStart w:id="12" w:name="_Toc229487754"/>
      <w:r>
        <w:t>10. Technology and Capability Package: Turning the D1.4 Tender into Operational Use Cases</w:t>
      </w:r>
      <w:bookmarkEnd w:id="12"/>
    </w:p>
    <w:p w14:paraId="3B7B8AA1" w14:textId="77777777" w:rsidR="00CF2C65" w:rsidRDefault="00EF3343">
      <w:r>
        <w:t>The D1.4 tender is more than a procurement document. It is a capability statement. It envisages specific training and equipment that support the project’s investigative and preventive ambitions. For this toolkit, the key value of D1.4 lies in translating items and services into clear use cases, access rules, and supervision requirements.</w:t>
      </w:r>
    </w:p>
    <w:p w14:paraId="0D820481" w14:textId="77777777" w:rsidR="00CF2C65" w:rsidRDefault="00EF3343">
      <w:r>
        <w:t>The tender indicates refresher training for tools such as INSEYETS/INSEYENT Pro Online and GreyKey, a GreyKey software subscription for mobile-device unlocking and forensic extraction, and hardware such as VSC PDI for high-quality document capture and examination and NOMAX devices for mobile operations focused on advanced document authentication. The tender also emphasises SIGINT integration with the pre-existing forensic laboratory and smart room in Venice, enabling access to tools including XRY Pro, GreyK</w:t>
      </w:r>
      <w:r>
        <w:t>ey, Inseyets, and Pathfinder. This suggests a capability model in which field collection, forensic processing, and analytical exploitation are connected rather than isolated.</w:t>
      </w:r>
    </w:p>
    <w:p w14:paraId="4FF37D50" w14:textId="77777777" w:rsidR="00CF2C65" w:rsidRDefault="00EF3343">
      <w:r>
        <w:t>To avoid underuse or misuse, every acquired capability should be linked to a standard operational pathway: who may request it, who may authorise it, what competence is required, where results are stored, how outputs are shared, and how chain of custody is preserved. Technology without workflow discipline can create fragmentation rather than improvement.</w:t>
      </w:r>
    </w:p>
    <w:tbl>
      <w:tblPr>
        <w:tblStyle w:val="Grigliatabella"/>
        <w:tblW w:w="0" w:type="auto"/>
        <w:jc w:val="center"/>
        <w:tblLook w:val="04A0" w:firstRow="1" w:lastRow="0" w:firstColumn="1" w:lastColumn="0" w:noHBand="0" w:noVBand="1"/>
      </w:tblPr>
      <w:tblGrid>
        <w:gridCol w:w="3212"/>
        <w:gridCol w:w="3213"/>
        <w:gridCol w:w="3213"/>
      </w:tblGrid>
      <w:tr w:rsidR="00CF2C65" w14:paraId="11AEC29A" w14:textId="77777777">
        <w:trPr>
          <w:jc w:val="center"/>
        </w:trPr>
        <w:tc>
          <w:tcPr>
            <w:tcW w:w="3216" w:type="dxa"/>
            <w:shd w:val="clear" w:color="auto" w:fill="D9EAF7"/>
            <w:vAlign w:val="center"/>
          </w:tcPr>
          <w:p w14:paraId="4B1B4599" w14:textId="77777777" w:rsidR="00CF2C65" w:rsidRDefault="00EF3343">
            <w:r>
              <w:rPr>
                <w:b/>
              </w:rPr>
              <w:t>Capability from D1.4</w:t>
            </w:r>
          </w:p>
        </w:tc>
        <w:tc>
          <w:tcPr>
            <w:tcW w:w="3216" w:type="dxa"/>
            <w:shd w:val="clear" w:color="auto" w:fill="D9EAF7"/>
            <w:vAlign w:val="center"/>
          </w:tcPr>
          <w:p w14:paraId="7049C8C2" w14:textId="77777777" w:rsidR="00CF2C65" w:rsidRDefault="00EF3343">
            <w:r>
              <w:rPr>
                <w:b/>
              </w:rPr>
              <w:t>Operational use case</w:t>
            </w:r>
          </w:p>
        </w:tc>
        <w:tc>
          <w:tcPr>
            <w:tcW w:w="3216" w:type="dxa"/>
            <w:shd w:val="clear" w:color="auto" w:fill="D9EAF7"/>
            <w:vAlign w:val="center"/>
          </w:tcPr>
          <w:p w14:paraId="59A7B3EF" w14:textId="77777777" w:rsidR="00CF2C65" w:rsidRDefault="00EF3343">
            <w:r>
              <w:rPr>
                <w:b/>
              </w:rPr>
              <w:t>Key controls</w:t>
            </w:r>
          </w:p>
        </w:tc>
      </w:tr>
      <w:tr w:rsidR="00CF2C65" w14:paraId="2DAFC1D4" w14:textId="77777777">
        <w:trPr>
          <w:jc w:val="center"/>
        </w:trPr>
        <w:tc>
          <w:tcPr>
            <w:tcW w:w="3216" w:type="dxa"/>
            <w:vAlign w:val="center"/>
          </w:tcPr>
          <w:p w14:paraId="786C3B33" w14:textId="77777777" w:rsidR="00CF2C65" w:rsidRDefault="00EF3343">
            <w:r>
              <w:t>Refresher and certification training</w:t>
            </w:r>
          </w:p>
        </w:tc>
        <w:tc>
          <w:tcPr>
            <w:tcW w:w="3216" w:type="dxa"/>
            <w:vAlign w:val="center"/>
          </w:tcPr>
          <w:p w14:paraId="6B2808A3" w14:textId="77777777" w:rsidR="00CF2C65" w:rsidRDefault="00EF3343">
            <w:r>
              <w:t>Maintain practitioner competence and common methods across agencies.</w:t>
            </w:r>
          </w:p>
        </w:tc>
        <w:tc>
          <w:tcPr>
            <w:tcW w:w="3216" w:type="dxa"/>
            <w:vAlign w:val="center"/>
          </w:tcPr>
          <w:p w14:paraId="79E051D1" w14:textId="77777777" w:rsidR="00CF2C65" w:rsidRDefault="00EF3343">
            <w:r>
              <w:t>Training records, competency checks, role-based access.</w:t>
            </w:r>
          </w:p>
        </w:tc>
      </w:tr>
      <w:tr w:rsidR="00CF2C65" w14:paraId="21403921" w14:textId="77777777">
        <w:trPr>
          <w:jc w:val="center"/>
        </w:trPr>
        <w:tc>
          <w:tcPr>
            <w:tcW w:w="3216" w:type="dxa"/>
            <w:vAlign w:val="center"/>
          </w:tcPr>
          <w:p w14:paraId="4AABA214" w14:textId="77777777" w:rsidR="00CF2C65" w:rsidRDefault="00EF3343">
            <w:r>
              <w:t>GreyKey / mobile extraction capability</w:t>
            </w:r>
          </w:p>
        </w:tc>
        <w:tc>
          <w:tcPr>
            <w:tcW w:w="3216" w:type="dxa"/>
            <w:vAlign w:val="center"/>
          </w:tcPr>
          <w:p w14:paraId="3575BEB8" w14:textId="77777777" w:rsidR="00CF2C65" w:rsidRDefault="00EF3343">
            <w:r>
              <w:t>Lawful extraction and analysis of device data relevant to trafficking cases.</w:t>
            </w:r>
          </w:p>
        </w:tc>
        <w:tc>
          <w:tcPr>
            <w:tcW w:w="3216" w:type="dxa"/>
            <w:vAlign w:val="center"/>
          </w:tcPr>
          <w:p w14:paraId="01227070" w14:textId="77777777" w:rsidR="00CF2C65" w:rsidRDefault="00EF3343">
            <w:r>
              <w:t>Judicial authorisation where required, forensic SOPs, audit trails, reporting standards.</w:t>
            </w:r>
          </w:p>
        </w:tc>
      </w:tr>
      <w:tr w:rsidR="00CF2C65" w14:paraId="3BA5DC1B" w14:textId="77777777">
        <w:trPr>
          <w:jc w:val="center"/>
        </w:trPr>
        <w:tc>
          <w:tcPr>
            <w:tcW w:w="3216" w:type="dxa"/>
            <w:vAlign w:val="center"/>
          </w:tcPr>
          <w:p w14:paraId="37DC628F" w14:textId="77777777" w:rsidR="00CF2C65" w:rsidRDefault="00EF3343">
            <w:r>
              <w:lastRenderedPageBreak/>
              <w:t>VSC PDI document examination</w:t>
            </w:r>
          </w:p>
        </w:tc>
        <w:tc>
          <w:tcPr>
            <w:tcW w:w="3216" w:type="dxa"/>
            <w:vAlign w:val="center"/>
          </w:tcPr>
          <w:p w14:paraId="1CBDD670" w14:textId="77777777" w:rsidR="00CF2C65" w:rsidRDefault="00EF3343">
            <w:r>
              <w:t>Authenticate documents, detect tampering, support identity and movement analysis.</w:t>
            </w:r>
          </w:p>
        </w:tc>
        <w:tc>
          <w:tcPr>
            <w:tcW w:w="3216" w:type="dxa"/>
            <w:vAlign w:val="center"/>
          </w:tcPr>
          <w:p w14:paraId="39D8579C" w14:textId="77777777" w:rsidR="00CF2C65" w:rsidRDefault="00EF3343">
            <w:r>
              <w:t>Qualified operators, photo/document logs, evidential handling.</w:t>
            </w:r>
          </w:p>
        </w:tc>
      </w:tr>
      <w:tr w:rsidR="00CF2C65" w14:paraId="0CC95C1F" w14:textId="77777777">
        <w:trPr>
          <w:jc w:val="center"/>
        </w:trPr>
        <w:tc>
          <w:tcPr>
            <w:tcW w:w="3216" w:type="dxa"/>
            <w:vAlign w:val="center"/>
          </w:tcPr>
          <w:p w14:paraId="64F9C8E1" w14:textId="77777777" w:rsidR="00CF2C65" w:rsidRDefault="00EF3343">
            <w:r>
              <w:t>NOMAX mobile field document tools</w:t>
            </w:r>
          </w:p>
        </w:tc>
        <w:tc>
          <w:tcPr>
            <w:tcW w:w="3216" w:type="dxa"/>
            <w:vAlign w:val="center"/>
          </w:tcPr>
          <w:p w14:paraId="5D9C4E1B" w14:textId="77777777" w:rsidR="00CF2C65" w:rsidRDefault="00EF3343">
            <w:r>
              <w:t>Border, street, and field verification of identity documents.</w:t>
            </w:r>
          </w:p>
        </w:tc>
        <w:tc>
          <w:tcPr>
            <w:tcW w:w="3216" w:type="dxa"/>
            <w:vAlign w:val="center"/>
          </w:tcPr>
          <w:p w14:paraId="506D5100" w14:textId="77777777" w:rsidR="00CF2C65" w:rsidRDefault="00EF3343">
            <w:r>
              <w:t>Field SOPs, escalation triggers, retention rules.</w:t>
            </w:r>
          </w:p>
        </w:tc>
      </w:tr>
      <w:tr w:rsidR="00CF2C65" w14:paraId="54F69205" w14:textId="77777777">
        <w:trPr>
          <w:jc w:val="center"/>
        </w:trPr>
        <w:tc>
          <w:tcPr>
            <w:tcW w:w="3216" w:type="dxa"/>
            <w:vAlign w:val="center"/>
          </w:tcPr>
          <w:p w14:paraId="23DFD30D" w14:textId="77777777" w:rsidR="00CF2C65" w:rsidRDefault="00EF3343">
            <w:r>
              <w:t>SIGINT integration with forensic lab and smart room</w:t>
            </w:r>
          </w:p>
        </w:tc>
        <w:tc>
          <w:tcPr>
            <w:tcW w:w="3216" w:type="dxa"/>
            <w:vAlign w:val="center"/>
          </w:tcPr>
          <w:p w14:paraId="5CB05FA1" w14:textId="77777777" w:rsidR="00CF2C65" w:rsidRDefault="00EF3343">
            <w:r>
              <w:t>Enable deeper device, communications, and lab-supported analytics for selected cases.</w:t>
            </w:r>
          </w:p>
        </w:tc>
        <w:tc>
          <w:tcPr>
            <w:tcW w:w="3216" w:type="dxa"/>
            <w:vAlign w:val="center"/>
          </w:tcPr>
          <w:p w14:paraId="75518F62" w14:textId="77777777" w:rsidR="00CF2C65" w:rsidRDefault="00EF3343">
            <w:r>
              <w:t>Access governance, technical supervision, secure storage, disclosure controls.</w:t>
            </w:r>
          </w:p>
        </w:tc>
      </w:tr>
    </w:tbl>
    <w:p w14:paraId="124CA78E" w14:textId="77777777" w:rsidR="00CF2C65" w:rsidRDefault="00CF2C65"/>
    <w:p w14:paraId="21C4AEFB" w14:textId="77777777" w:rsidR="00CF2C65" w:rsidRDefault="00EF3343">
      <w:pPr>
        <w:pStyle w:val="Titolo1"/>
      </w:pPr>
      <w:bookmarkStart w:id="13" w:name="_Toc229487755"/>
      <w:r>
        <w:t>11. Data Collection, Preservation, and Evidential Integrity</w:t>
      </w:r>
      <w:bookmarkEnd w:id="13"/>
    </w:p>
    <w:p w14:paraId="11799619" w14:textId="77777777" w:rsidR="00CF2C65" w:rsidRDefault="00EF3343">
      <w:r>
        <w:t>A recurring weakness in digital trafficking cases is the gap between what is seen online and what can be reliably demonstrated later. Teams may find compelling indicators, but if capture is inconsistent, metadata is incomplete, timestamps are unclear, or screenshots cannot be contextualised, the evidential value may fall sharply. The toolkit therefore recommends a preservation-first discipline.</w:t>
      </w:r>
    </w:p>
    <w:p w14:paraId="007FF86E" w14:textId="77777777" w:rsidR="00CF2C65" w:rsidRDefault="00EF3343">
      <w:r>
        <w:t>At minimum, every relevant online capture should record source, date and time, collector, capture method, platform or URL identifier where visible, and an explanatory note describing what is significant. Screenshots should be paired, where possible, with source export, HTML, JSON, or structured capture produced through approved tooling. If a platform page is dynamic, collectors should capture both the focal content and surrounding context that explains where it appeared. Where possible, hashing, secure stor</w:t>
      </w:r>
      <w:r>
        <w:t>age, and access logging should be applied from the first capture stage.</w:t>
      </w:r>
    </w:p>
    <w:p w14:paraId="486A420B" w14:textId="77777777" w:rsidR="00CF2C65" w:rsidRDefault="00EF3343">
      <w:r>
        <w:t>Preservation also has a safeguarding dimension. If content appears to show a live victim, capture should not create unnecessary circulation or retraumatisation. Access should be need-to-know, and downstream use should follow victim-protection and child-protection rules where applicable. Investigators should coordinate early with prosecutors to ensure that preservation measures align with likely evidential needs.</w:t>
      </w:r>
    </w:p>
    <w:p w14:paraId="2F746EAC" w14:textId="77777777" w:rsidR="00CF2C65" w:rsidRDefault="00EF3343">
      <w:pPr>
        <w:pStyle w:val="Puntoelenco"/>
      </w:pPr>
      <w:r>
        <w:t>Capture the content, the context, and the collection metadata.</w:t>
      </w:r>
    </w:p>
    <w:p w14:paraId="20C69726" w14:textId="77777777" w:rsidR="00CF2C65" w:rsidRDefault="00EF3343">
      <w:pPr>
        <w:pStyle w:val="Puntoelenco"/>
      </w:pPr>
      <w:r>
        <w:t>Use approved tools and standard naming conventions.</w:t>
      </w:r>
    </w:p>
    <w:p w14:paraId="7DA15E66" w14:textId="77777777" w:rsidR="00CF2C65" w:rsidRDefault="00EF3343">
      <w:pPr>
        <w:pStyle w:val="Puntoelenco"/>
      </w:pPr>
      <w:r>
        <w:t>Store original captures separately from analytical working copies.</w:t>
      </w:r>
    </w:p>
    <w:p w14:paraId="32AF67D7" w14:textId="77777777" w:rsidR="00CF2C65" w:rsidRDefault="00EF3343">
      <w:pPr>
        <w:pStyle w:val="Puntoelenco"/>
      </w:pPr>
      <w:r>
        <w:lastRenderedPageBreak/>
        <w:t>Apply access controls and logging proportional to content sensitivity.</w:t>
      </w:r>
    </w:p>
    <w:p w14:paraId="0E2F7574" w14:textId="77777777" w:rsidR="00CF2C65" w:rsidRDefault="00EF3343">
      <w:pPr>
        <w:pStyle w:val="Puntoelenco"/>
      </w:pPr>
      <w:r>
        <w:t>Document any transformations, translations, or analytical annotations.</w:t>
      </w:r>
    </w:p>
    <w:p w14:paraId="4DB9AE85" w14:textId="77777777" w:rsidR="00CF2C65" w:rsidRDefault="00EF3343">
      <w:pPr>
        <w:pStyle w:val="Titolo1"/>
      </w:pPr>
      <w:bookmarkStart w:id="14" w:name="_Toc229487756"/>
      <w:r>
        <w:t>12. Victim Identification, Referral, and First Protection</w:t>
      </w:r>
      <w:bookmarkEnd w:id="14"/>
    </w:p>
    <w:p w14:paraId="6768F3D0" w14:textId="77777777" w:rsidR="00CF2C65" w:rsidRDefault="00EF3343">
      <w:r>
        <w:t>A multi-agency toolkit must make referral operational, not aspirational. The Italian National Referral Mechanism offers a useful structure for this. It treats identification, first assistance and protection, long-term assistance and social inclusion, voluntary return where appropriate, and access to justice as connected steps rather than isolated services. The same logic should inform INTERCEPTED pilots and transferable practice.</w:t>
      </w:r>
    </w:p>
    <w:p w14:paraId="405E680D" w14:textId="77777777" w:rsidR="00CF2C65" w:rsidRDefault="00EF3343">
      <w:r>
        <w:t>When a presumed victim is identified, the immediate questions are safety, basic needs, interpretation, legal information, health, and whether the person can exercise informed choice. Formal identification should not be rushed where the person is in distress, lacks privacy, requires medical attention, or asks for advice or postponement. At the same time, emergency protection and referral should not be delayed simply because formal identification is pending.</w:t>
      </w:r>
    </w:p>
    <w:p w14:paraId="00CA8D5F" w14:textId="77777777" w:rsidR="00CF2C65" w:rsidRDefault="00EF3343">
      <w:r>
        <w:t>The toolkit recommends a safeguarding trigger matrix. If any of the following are present, the case should move immediately into a protection track alongside the investigative track: indications of coercion or control; inability to leave; debt bondage; recent transfer across locations by a controller; document retention; threats to family; evident trauma; signs of minority or uncertainty over age; or fear of retaliation if cooperation becomes known.</w:t>
      </w:r>
    </w:p>
    <w:tbl>
      <w:tblPr>
        <w:tblStyle w:val="Grigliatabella"/>
        <w:tblW w:w="0" w:type="auto"/>
        <w:jc w:val="center"/>
        <w:tblLook w:val="04A0" w:firstRow="1" w:lastRow="0" w:firstColumn="1" w:lastColumn="0" w:noHBand="0" w:noVBand="1"/>
      </w:tblPr>
      <w:tblGrid>
        <w:gridCol w:w="3212"/>
        <w:gridCol w:w="3213"/>
        <w:gridCol w:w="3213"/>
      </w:tblGrid>
      <w:tr w:rsidR="00CF2C65" w14:paraId="26EA50CB" w14:textId="77777777">
        <w:trPr>
          <w:jc w:val="center"/>
        </w:trPr>
        <w:tc>
          <w:tcPr>
            <w:tcW w:w="3216" w:type="dxa"/>
            <w:shd w:val="clear" w:color="auto" w:fill="D9EAF7"/>
            <w:vAlign w:val="center"/>
          </w:tcPr>
          <w:p w14:paraId="759E3666" w14:textId="77777777" w:rsidR="00CF2C65" w:rsidRDefault="00EF3343">
            <w:r>
              <w:rPr>
                <w:b/>
              </w:rPr>
              <w:t>Referral step</w:t>
            </w:r>
          </w:p>
        </w:tc>
        <w:tc>
          <w:tcPr>
            <w:tcW w:w="3216" w:type="dxa"/>
            <w:shd w:val="clear" w:color="auto" w:fill="D9EAF7"/>
            <w:vAlign w:val="center"/>
          </w:tcPr>
          <w:p w14:paraId="5199CC6F" w14:textId="77777777" w:rsidR="00CF2C65" w:rsidRDefault="00EF3343">
            <w:r>
              <w:rPr>
                <w:b/>
              </w:rPr>
              <w:t>Minimum action</w:t>
            </w:r>
          </w:p>
        </w:tc>
        <w:tc>
          <w:tcPr>
            <w:tcW w:w="3216" w:type="dxa"/>
            <w:shd w:val="clear" w:color="auto" w:fill="D9EAF7"/>
            <w:vAlign w:val="center"/>
          </w:tcPr>
          <w:p w14:paraId="14449A90" w14:textId="77777777" w:rsidR="00CF2C65" w:rsidRDefault="00EF3343">
            <w:r>
              <w:rPr>
                <w:b/>
              </w:rPr>
              <w:t>Lead/support actors</w:t>
            </w:r>
          </w:p>
        </w:tc>
      </w:tr>
      <w:tr w:rsidR="00CF2C65" w14:paraId="23F008E5" w14:textId="77777777">
        <w:trPr>
          <w:jc w:val="center"/>
        </w:trPr>
        <w:tc>
          <w:tcPr>
            <w:tcW w:w="3216" w:type="dxa"/>
            <w:vAlign w:val="center"/>
          </w:tcPr>
          <w:p w14:paraId="062A445B" w14:textId="77777777" w:rsidR="00CF2C65" w:rsidRDefault="00EF3343">
            <w:r>
              <w:t>Preliminary identification</w:t>
            </w:r>
          </w:p>
        </w:tc>
        <w:tc>
          <w:tcPr>
            <w:tcW w:w="3216" w:type="dxa"/>
            <w:vAlign w:val="center"/>
          </w:tcPr>
          <w:p w14:paraId="1E8D0AE9" w14:textId="77777777" w:rsidR="00CF2C65" w:rsidRDefault="00EF3343">
            <w:r>
              <w:t>Record indicators and immediate risks; arrange interpretation if needed.</w:t>
            </w:r>
          </w:p>
        </w:tc>
        <w:tc>
          <w:tcPr>
            <w:tcW w:w="3216" w:type="dxa"/>
            <w:vAlign w:val="center"/>
          </w:tcPr>
          <w:p w14:paraId="23E85ACC" w14:textId="77777777" w:rsidR="00CF2C65" w:rsidRDefault="00EF3343">
            <w:r>
              <w:t>Frontline LEA, NGO outreach, hotline, municipal/social services.</w:t>
            </w:r>
          </w:p>
        </w:tc>
      </w:tr>
      <w:tr w:rsidR="00CF2C65" w14:paraId="4CBD2065" w14:textId="77777777">
        <w:trPr>
          <w:jc w:val="center"/>
        </w:trPr>
        <w:tc>
          <w:tcPr>
            <w:tcW w:w="3216" w:type="dxa"/>
            <w:vAlign w:val="center"/>
          </w:tcPr>
          <w:p w14:paraId="4A92094A" w14:textId="77777777" w:rsidR="00CF2C65" w:rsidRDefault="00EF3343">
            <w:r>
              <w:t>Emergency protection</w:t>
            </w:r>
          </w:p>
        </w:tc>
        <w:tc>
          <w:tcPr>
            <w:tcW w:w="3216" w:type="dxa"/>
            <w:vAlign w:val="center"/>
          </w:tcPr>
          <w:p w14:paraId="5F7B3C64" w14:textId="77777777" w:rsidR="00CF2C65" w:rsidRDefault="00EF3343">
            <w:r>
              <w:t>Secure accommodation or safe contact pathway; address urgent health and safety needs.</w:t>
            </w:r>
          </w:p>
        </w:tc>
        <w:tc>
          <w:tcPr>
            <w:tcW w:w="3216" w:type="dxa"/>
            <w:vAlign w:val="center"/>
          </w:tcPr>
          <w:p w14:paraId="15C8A05F" w14:textId="77777777" w:rsidR="00CF2C65" w:rsidRDefault="00EF3343">
            <w:r>
              <w:t>Victim-support service, NGO, social services, LEA safeguarding contact.</w:t>
            </w:r>
          </w:p>
        </w:tc>
      </w:tr>
      <w:tr w:rsidR="00CF2C65" w14:paraId="39D5650F" w14:textId="77777777">
        <w:trPr>
          <w:jc w:val="center"/>
        </w:trPr>
        <w:tc>
          <w:tcPr>
            <w:tcW w:w="3216" w:type="dxa"/>
            <w:vAlign w:val="center"/>
          </w:tcPr>
          <w:p w14:paraId="0E90B243" w14:textId="77777777" w:rsidR="00CF2C65" w:rsidRDefault="00EF3343">
            <w:r>
              <w:t>Information and consent</w:t>
            </w:r>
          </w:p>
        </w:tc>
        <w:tc>
          <w:tcPr>
            <w:tcW w:w="3216" w:type="dxa"/>
            <w:vAlign w:val="center"/>
          </w:tcPr>
          <w:p w14:paraId="60137992" w14:textId="77777777" w:rsidR="00CF2C65" w:rsidRDefault="00EF3343">
            <w:r>
              <w:t>Explain rights, options, risks, and available support in understandable language.</w:t>
            </w:r>
          </w:p>
        </w:tc>
        <w:tc>
          <w:tcPr>
            <w:tcW w:w="3216" w:type="dxa"/>
            <w:vAlign w:val="center"/>
          </w:tcPr>
          <w:p w14:paraId="662BCFF2" w14:textId="77777777" w:rsidR="00CF2C65" w:rsidRDefault="00EF3343">
            <w:r>
              <w:t>NGO/legal support with interpretation.</w:t>
            </w:r>
          </w:p>
        </w:tc>
      </w:tr>
      <w:tr w:rsidR="00CF2C65" w14:paraId="3FDCE056" w14:textId="77777777">
        <w:trPr>
          <w:jc w:val="center"/>
        </w:trPr>
        <w:tc>
          <w:tcPr>
            <w:tcW w:w="3216" w:type="dxa"/>
            <w:vAlign w:val="center"/>
          </w:tcPr>
          <w:p w14:paraId="4A92CABD" w14:textId="77777777" w:rsidR="00CF2C65" w:rsidRDefault="00EF3343">
            <w:r>
              <w:lastRenderedPageBreak/>
              <w:t>Formal identification / case assessment</w:t>
            </w:r>
          </w:p>
        </w:tc>
        <w:tc>
          <w:tcPr>
            <w:tcW w:w="3216" w:type="dxa"/>
            <w:vAlign w:val="center"/>
          </w:tcPr>
          <w:p w14:paraId="7C7889C6" w14:textId="77777777" w:rsidR="00CF2C65" w:rsidRDefault="00EF3343">
            <w:r>
              <w:t>Conduct trauma-informed assessment when conditions are appropriate.</w:t>
            </w:r>
          </w:p>
        </w:tc>
        <w:tc>
          <w:tcPr>
            <w:tcW w:w="3216" w:type="dxa"/>
            <w:vAlign w:val="center"/>
          </w:tcPr>
          <w:p w14:paraId="374A7E52" w14:textId="77777777" w:rsidR="00CF2C65" w:rsidRDefault="00EF3343">
            <w:r>
              <w:t>Competent authority with victim-support involvement.</w:t>
            </w:r>
          </w:p>
        </w:tc>
      </w:tr>
      <w:tr w:rsidR="00CF2C65" w14:paraId="0C668063" w14:textId="77777777">
        <w:trPr>
          <w:jc w:val="center"/>
        </w:trPr>
        <w:tc>
          <w:tcPr>
            <w:tcW w:w="3216" w:type="dxa"/>
            <w:vAlign w:val="center"/>
          </w:tcPr>
          <w:p w14:paraId="17972733" w14:textId="77777777" w:rsidR="00CF2C65" w:rsidRDefault="00EF3343">
            <w:r>
              <w:t>Longer-term plan</w:t>
            </w:r>
          </w:p>
        </w:tc>
        <w:tc>
          <w:tcPr>
            <w:tcW w:w="3216" w:type="dxa"/>
            <w:vAlign w:val="center"/>
          </w:tcPr>
          <w:p w14:paraId="1CC78ED8" w14:textId="77777777" w:rsidR="00CF2C65" w:rsidRDefault="00EF3343">
            <w:r>
              <w:t>Develop an individual assistance pathway linked to legal and social options.</w:t>
            </w:r>
          </w:p>
        </w:tc>
        <w:tc>
          <w:tcPr>
            <w:tcW w:w="3216" w:type="dxa"/>
            <w:vAlign w:val="center"/>
          </w:tcPr>
          <w:p w14:paraId="2EBFBA9A" w14:textId="77777777" w:rsidR="00CF2C65" w:rsidRDefault="00EF3343">
            <w:r>
              <w:t>Case manager with multi-agency support.</w:t>
            </w:r>
          </w:p>
        </w:tc>
      </w:tr>
    </w:tbl>
    <w:p w14:paraId="535812A8" w14:textId="77777777" w:rsidR="00CF2C65" w:rsidRDefault="00CF2C65"/>
    <w:p w14:paraId="74D095D0" w14:textId="77777777" w:rsidR="00CF2C65" w:rsidRDefault="00EF3343">
      <w:pPr>
        <w:pStyle w:val="Titolo1"/>
      </w:pPr>
      <w:bookmarkStart w:id="15" w:name="_Toc229487757"/>
      <w:r>
        <w:t>13. Access to Justice and Prosecutorial Strategy</w:t>
      </w:r>
      <w:bookmarkEnd w:id="15"/>
    </w:p>
    <w:p w14:paraId="01104427" w14:textId="77777777" w:rsidR="00CF2C65" w:rsidRDefault="00EF3343">
      <w:r>
        <w:t>Digital detection is only meaningful if it supports a credible route to justice. This requires early prosecutorial engagement, especially in cross-border or technology-heavy cases. Prosecutors should be involved not only at the charging stage, but also in scoping lawful collection options, preservation priorities, disclosure issues, and cooperation requests to platforms or foreign authorities.</w:t>
      </w:r>
    </w:p>
    <w:p w14:paraId="68133BBF" w14:textId="77777777" w:rsidR="00CF2C65" w:rsidRDefault="00EF3343">
      <w:r>
        <w:t>A strong prosecutorial strategy in trafficking cases usually combines several strands: victim evidence where the victim wishes and is able to engage; corroborative digital evidence; financial evidence; location and movement evidence; administrative or corporate material; and contextual evidence about business models, control methods, or organised roles. Relying exclusively on victim testimony remains risky and may increase harm. The toolkit therefore recommends “corroboration planning” from the start of eac</w:t>
      </w:r>
      <w:r>
        <w:t>h case.</w:t>
      </w:r>
    </w:p>
    <w:p w14:paraId="44E7F557" w14:textId="77777777" w:rsidR="00CF2C65" w:rsidRDefault="00EF3343">
      <w:r>
        <w:t>Access to justice also includes support before, during, and after proceedings. Victim-witness preparation, interpretation, safe transport, psychological support, and compensation pathways should be treated as part of the justice response, not as optional extras. Multi-agency work remains necessary even when a person declines to join a formal assistance programme or does not wish to cooperate with criminal proceedings.</w:t>
      </w:r>
    </w:p>
    <w:p w14:paraId="11BBDF94" w14:textId="77777777" w:rsidR="00CF2C65" w:rsidRDefault="00EF3343">
      <w:pPr>
        <w:pStyle w:val="Puntoelenco"/>
      </w:pPr>
      <w:r>
        <w:t>Engage prosecutors early in technology-heavy cases.</w:t>
      </w:r>
    </w:p>
    <w:p w14:paraId="6F7CE37D" w14:textId="77777777" w:rsidR="00CF2C65" w:rsidRDefault="00EF3343">
      <w:pPr>
        <w:pStyle w:val="Puntoelenco"/>
      </w:pPr>
      <w:r>
        <w:t>Plan corroboration from the first week of case development.</w:t>
      </w:r>
    </w:p>
    <w:p w14:paraId="2530317E" w14:textId="77777777" w:rsidR="00CF2C65" w:rsidRDefault="00EF3343">
      <w:pPr>
        <w:pStyle w:val="Puntoelenco"/>
      </w:pPr>
      <w:r>
        <w:t>Use financial investigation to strengthen both disruption and proof.</w:t>
      </w:r>
    </w:p>
    <w:p w14:paraId="44E764A6" w14:textId="77777777" w:rsidR="00CF2C65" w:rsidRDefault="00EF3343">
      <w:pPr>
        <w:pStyle w:val="Puntoelenco"/>
      </w:pPr>
      <w:r>
        <w:t>Coordinate victim-support measures with procedural milestones.</w:t>
      </w:r>
    </w:p>
    <w:p w14:paraId="7C0CFEC8" w14:textId="77777777" w:rsidR="00CF2C65" w:rsidRDefault="00EF3343">
      <w:pPr>
        <w:pStyle w:val="Puntoelenco"/>
      </w:pPr>
      <w:r>
        <w:t>Consider compensation and redress pathways alongside criminal strategy.</w:t>
      </w:r>
    </w:p>
    <w:p w14:paraId="19972DA1" w14:textId="77777777" w:rsidR="00CF2C65" w:rsidRDefault="00EF3343">
      <w:pPr>
        <w:pStyle w:val="Titolo1"/>
      </w:pPr>
      <w:bookmarkStart w:id="16" w:name="_Toc229487758"/>
      <w:r>
        <w:t>14. Financial Investigation and Asset Disruption</w:t>
      </w:r>
      <w:bookmarkEnd w:id="16"/>
    </w:p>
    <w:p w14:paraId="57BE2D6A" w14:textId="77777777" w:rsidR="00CF2C65" w:rsidRDefault="00EF3343">
      <w:r>
        <w:t xml:space="preserve">Trafficking is profit-driven. Financial investigation should therefore be embedded in case design from the outset and not postponed until the end. Even in apparently small cases, </w:t>
      </w:r>
      <w:r>
        <w:lastRenderedPageBreak/>
        <w:t>payment flows, subscription fees, remittances, cash logistics, wallet addresses, mule accounts, and spending patterns can reveal organisers, scale, and links between cells or facilitators.</w:t>
      </w:r>
    </w:p>
    <w:p w14:paraId="35E110A1" w14:textId="77777777" w:rsidR="00CF2C65" w:rsidRDefault="00EF3343">
      <w:r>
        <w:t>The D3.3 handbook underlines the importance of distinguishing between content and container in the cryptocurrency environment. For practice, the lesson is broader: investigators should not focus only on visible payment tools but on the transaction ecosystem around them. This includes account opening, device access, recovery credentials, conversion points, linked contacts, and service-provider footprints.</w:t>
      </w:r>
    </w:p>
    <w:p w14:paraId="1647B127" w14:textId="77777777" w:rsidR="00CF2C65" w:rsidRDefault="00EF3343">
      <w:r>
        <w:t>A multi-agency approach is especially valuable here. Investigators bring coercive powers and case theory; analysts bring pattern recognition; prosecutors bring freezing and seizure strategy; and private-sector partners may be able, within lawful channels, to support suspicious-activity reporting, account preservation, or response to legal process. Financial work should be synchronised with victim safeguarding so that urgent needs are not overlooked while assets are being traced.</w:t>
      </w:r>
    </w:p>
    <w:p w14:paraId="4AC3AB41" w14:textId="77777777" w:rsidR="00CE7A7B" w:rsidRDefault="00CE7A7B"/>
    <w:p w14:paraId="5763F5A4" w14:textId="77777777" w:rsidR="00CF2C65" w:rsidRDefault="00EF3343">
      <w:pPr>
        <w:pStyle w:val="Numeroelenco"/>
      </w:pPr>
      <w:r>
        <w:t>Map the suspected payment ecosystem and identify likely collection points.</w:t>
      </w:r>
    </w:p>
    <w:p w14:paraId="30D37191" w14:textId="77777777" w:rsidR="00CF2C65" w:rsidRDefault="00EF3343">
      <w:pPr>
        <w:pStyle w:val="Numeroelenco"/>
      </w:pPr>
      <w:r>
        <w:t>Link financial questions to the case theory: who profits, who controls, who pays, who launders.</w:t>
      </w:r>
    </w:p>
    <w:p w14:paraId="3AB88B1D" w14:textId="77777777" w:rsidR="00CF2C65" w:rsidRDefault="00EF3343">
      <w:pPr>
        <w:pStyle w:val="Numeroelenco"/>
      </w:pPr>
      <w:r>
        <w:t>Preserve records quickly when platforms or providers have short retention windows.</w:t>
      </w:r>
    </w:p>
    <w:p w14:paraId="54BD9D4B" w14:textId="77777777" w:rsidR="00CF2C65" w:rsidRDefault="00EF3343">
      <w:pPr>
        <w:pStyle w:val="Numeroelenco"/>
      </w:pPr>
      <w:r>
        <w:t>Seek early judicial guidance on freezing, seizure, or production orders where appropriate.</w:t>
      </w:r>
    </w:p>
    <w:p w14:paraId="09482436" w14:textId="77777777" w:rsidR="00CF2C65" w:rsidRDefault="00EF3343">
      <w:pPr>
        <w:pStyle w:val="Numeroelenco"/>
      </w:pPr>
      <w:r>
        <w:t>Document the financial narrative in plain language for non-specialist decision-makers and courts.</w:t>
      </w:r>
    </w:p>
    <w:p w14:paraId="2FA1D68D" w14:textId="77777777" w:rsidR="00CF2C65" w:rsidRDefault="00EF3343">
      <w:pPr>
        <w:pStyle w:val="Titolo1"/>
      </w:pPr>
      <w:bookmarkStart w:id="17" w:name="_Toc229487759"/>
      <w:r>
        <w:t>15. Public-Private Cooperation: Framework, Boundaries, and Good Practice</w:t>
      </w:r>
      <w:bookmarkEnd w:id="17"/>
    </w:p>
    <w:p w14:paraId="6EB0BC22" w14:textId="77777777" w:rsidR="00CF2C65" w:rsidRDefault="00EF3343">
      <w:r>
        <w:t>Public-private cooperation is a central feature of INTERCEPTED, but it must be carefully structured. The goal is not indiscriminate data sharing. The goal is lawful, purpose-limited cooperation that reduces harm, increases detection, improves moderation or referral, and supports investigations where legal thresholds are met.</w:t>
      </w:r>
    </w:p>
    <w:p w14:paraId="0D2E472F" w14:textId="77777777" w:rsidR="00CF2C65" w:rsidRDefault="00EF3343">
      <w:r>
        <w:t xml:space="preserve">Potential partners include social-media and platform providers, hosting and domain services, payment intermediaries, transport and accommodation providers, labour-market platforms, communication providers, cybersecurity firms, forensic vendors, local businesses, and media organisations. Not all partners should receive the same information, and not all should </w:t>
      </w:r>
      <w:r>
        <w:lastRenderedPageBreak/>
        <w:t>be engaged in every case. The toolkit recommends a partner-segmentation model that distinguishes strategic partners, case-support partners, and awareness partners.</w:t>
      </w:r>
    </w:p>
    <w:p w14:paraId="436DA007" w14:textId="77777777" w:rsidR="00CF2C65" w:rsidRDefault="00EF3343">
      <w:r>
        <w:t>Successful cooperation usually depends on five factors: clear legal basis; a named liaison structure; standard request templates; mutual understanding of each side’s timelines and constraints; and review mechanisms that prevent informal drift. NGOs and civil-society actors are not simply support services; they bring pattern recognition, trust with vulnerable communities, and practical insight into harm that law-enforcement-only models can miss. Their participation should therefore be built into governance r</w:t>
      </w:r>
      <w:r>
        <w:t>ather than added ad hoc.</w:t>
      </w:r>
    </w:p>
    <w:tbl>
      <w:tblPr>
        <w:tblStyle w:val="Grigliatabella"/>
        <w:tblW w:w="0" w:type="auto"/>
        <w:jc w:val="center"/>
        <w:tblLook w:val="04A0" w:firstRow="1" w:lastRow="0" w:firstColumn="1" w:lastColumn="0" w:noHBand="0" w:noVBand="1"/>
      </w:tblPr>
      <w:tblGrid>
        <w:gridCol w:w="3212"/>
        <w:gridCol w:w="3213"/>
        <w:gridCol w:w="3213"/>
      </w:tblGrid>
      <w:tr w:rsidR="00CF2C65" w14:paraId="33B5B883" w14:textId="77777777">
        <w:trPr>
          <w:jc w:val="center"/>
        </w:trPr>
        <w:tc>
          <w:tcPr>
            <w:tcW w:w="3216" w:type="dxa"/>
            <w:shd w:val="clear" w:color="auto" w:fill="D9EAF7"/>
            <w:vAlign w:val="center"/>
          </w:tcPr>
          <w:p w14:paraId="5FA11118" w14:textId="77777777" w:rsidR="00CF2C65" w:rsidRDefault="00EF3343">
            <w:r>
              <w:rPr>
                <w:b/>
              </w:rPr>
              <w:t>Partner category</w:t>
            </w:r>
          </w:p>
        </w:tc>
        <w:tc>
          <w:tcPr>
            <w:tcW w:w="3216" w:type="dxa"/>
            <w:shd w:val="clear" w:color="auto" w:fill="D9EAF7"/>
            <w:vAlign w:val="center"/>
          </w:tcPr>
          <w:p w14:paraId="4119BCC8" w14:textId="77777777" w:rsidR="00CF2C65" w:rsidRDefault="00EF3343">
            <w:r>
              <w:rPr>
                <w:b/>
              </w:rPr>
              <w:t>Examples</w:t>
            </w:r>
          </w:p>
        </w:tc>
        <w:tc>
          <w:tcPr>
            <w:tcW w:w="3216" w:type="dxa"/>
            <w:shd w:val="clear" w:color="auto" w:fill="D9EAF7"/>
            <w:vAlign w:val="center"/>
          </w:tcPr>
          <w:p w14:paraId="136C1030" w14:textId="77777777" w:rsidR="00CF2C65" w:rsidRDefault="00EF3343">
            <w:r>
              <w:rPr>
                <w:b/>
              </w:rPr>
              <w:t>Typical contribution</w:t>
            </w:r>
          </w:p>
        </w:tc>
      </w:tr>
      <w:tr w:rsidR="00CF2C65" w14:paraId="33DF8973" w14:textId="77777777">
        <w:trPr>
          <w:jc w:val="center"/>
        </w:trPr>
        <w:tc>
          <w:tcPr>
            <w:tcW w:w="3216" w:type="dxa"/>
            <w:vAlign w:val="center"/>
          </w:tcPr>
          <w:p w14:paraId="5D744078" w14:textId="77777777" w:rsidR="00CF2C65" w:rsidRDefault="00EF3343">
            <w:r>
              <w:t>Strategic partners</w:t>
            </w:r>
          </w:p>
        </w:tc>
        <w:tc>
          <w:tcPr>
            <w:tcW w:w="3216" w:type="dxa"/>
            <w:vAlign w:val="center"/>
          </w:tcPr>
          <w:p w14:paraId="4FDA355A" w14:textId="77777777" w:rsidR="00CF2C65" w:rsidRDefault="00EF3343">
            <w:r>
              <w:t>Major platforms, municipal authorities, national helplines, NGO networks</w:t>
            </w:r>
          </w:p>
        </w:tc>
        <w:tc>
          <w:tcPr>
            <w:tcW w:w="3216" w:type="dxa"/>
            <w:vAlign w:val="center"/>
          </w:tcPr>
          <w:p w14:paraId="013D9DE8" w14:textId="77777777" w:rsidR="00CF2C65" w:rsidRDefault="00EF3343">
            <w:r>
              <w:t>Trend sharing, escalation channels, prevention design, protocol development.</w:t>
            </w:r>
          </w:p>
        </w:tc>
      </w:tr>
      <w:tr w:rsidR="00CF2C65" w14:paraId="2FF49011" w14:textId="77777777">
        <w:trPr>
          <w:jc w:val="center"/>
        </w:trPr>
        <w:tc>
          <w:tcPr>
            <w:tcW w:w="3216" w:type="dxa"/>
            <w:vAlign w:val="center"/>
          </w:tcPr>
          <w:p w14:paraId="21A8D526" w14:textId="77777777" w:rsidR="00CF2C65" w:rsidRDefault="00EF3343">
            <w:r>
              <w:t>Case-support partners</w:t>
            </w:r>
          </w:p>
        </w:tc>
        <w:tc>
          <w:tcPr>
            <w:tcW w:w="3216" w:type="dxa"/>
            <w:vAlign w:val="center"/>
          </w:tcPr>
          <w:p w14:paraId="6505E603" w14:textId="77777777" w:rsidR="00CF2C65" w:rsidRDefault="00EF3343">
            <w:r>
              <w:t>Payment services, hosts, transport providers, forensic service providers</w:t>
            </w:r>
          </w:p>
        </w:tc>
        <w:tc>
          <w:tcPr>
            <w:tcW w:w="3216" w:type="dxa"/>
            <w:vAlign w:val="center"/>
          </w:tcPr>
          <w:p w14:paraId="2E55E30F" w14:textId="77777777" w:rsidR="00CF2C65" w:rsidRDefault="00EF3343">
            <w:r>
              <w:t>Data preservation, lawful response to requests, operational support.</w:t>
            </w:r>
          </w:p>
        </w:tc>
      </w:tr>
      <w:tr w:rsidR="00CF2C65" w14:paraId="37695B01" w14:textId="77777777">
        <w:trPr>
          <w:jc w:val="center"/>
        </w:trPr>
        <w:tc>
          <w:tcPr>
            <w:tcW w:w="3216" w:type="dxa"/>
            <w:vAlign w:val="center"/>
          </w:tcPr>
          <w:p w14:paraId="544798F1" w14:textId="77777777" w:rsidR="00CF2C65" w:rsidRDefault="00EF3343">
            <w:r>
              <w:t>Awareness partners</w:t>
            </w:r>
          </w:p>
        </w:tc>
        <w:tc>
          <w:tcPr>
            <w:tcW w:w="3216" w:type="dxa"/>
            <w:vAlign w:val="center"/>
          </w:tcPr>
          <w:p w14:paraId="59C33B4D" w14:textId="77777777" w:rsidR="00CF2C65" w:rsidRDefault="00EF3343">
            <w:r>
              <w:t>Media, schools, community organisations, labour-market actors</w:t>
            </w:r>
          </w:p>
        </w:tc>
        <w:tc>
          <w:tcPr>
            <w:tcW w:w="3216" w:type="dxa"/>
            <w:vAlign w:val="center"/>
          </w:tcPr>
          <w:p w14:paraId="31C6EC70" w14:textId="77777777" w:rsidR="00CF2C65" w:rsidRDefault="00EF3343">
            <w:r>
              <w:t>Targeted communication, awareness raising, community trust and reach.</w:t>
            </w:r>
          </w:p>
        </w:tc>
      </w:tr>
    </w:tbl>
    <w:p w14:paraId="5FD518CB" w14:textId="77777777" w:rsidR="00CF2C65" w:rsidRDefault="00CF2C65"/>
    <w:p w14:paraId="0D24FF03" w14:textId="77777777" w:rsidR="00CF2C65" w:rsidRDefault="00EF3343">
      <w:pPr>
        <w:pStyle w:val="Titolo1"/>
      </w:pPr>
      <w:bookmarkStart w:id="18" w:name="_Toc229487760"/>
      <w:r>
        <w:t>16. Counter-THB Campaigns and Strategic Communication</w:t>
      </w:r>
      <w:bookmarkEnd w:id="18"/>
    </w:p>
    <w:p w14:paraId="5F57D2B5" w14:textId="77777777" w:rsidR="00CF2C65" w:rsidRDefault="00EF3343">
      <w:r>
        <w:t>One of the distinctive contributions of INTERCEPTED is the idea that OSINT should inform not only enforcement but also targeted prevention campaigns. This is not generic awareness raising. It is strategic communication based on identifiable risk environments, audience segmentation, and behavioural cues. In practical terms, campaigns should be treated as interventions with objectives, audiences, channels, messages, safeguards, and measurable outcomes.</w:t>
      </w:r>
    </w:p>
    <w:p w14:paraId="473B4192" w14:textId="77777777" w:rsidR="00CF2C65" w:rsidRDefault="00EF3343">
      <w:r>
        <w:t>Campaign planning begins with a question: what behaviour are we trying to influence? Possibilities include reducing trust in deceptive recruiters, increasing help-seeking, increasing reporting by community members, reducing buyer demand for exploitative services, or alerting frontline professionals to specific indicators. Messages should be plain, credible, trauma-aware, and adapted to language and platform culture. Campaigns aimed at at-risk communities should avoid blame and should always include safe pat</w:t>
      </w:r>
      <w:r>
        <w:t>hways to help.</w:t>
      </w:r>
    </w:p>
    <w:p w14:paraId="474F5362" w14:textId="77777777" w:rsidR="00CF2C65" w:rsidRDefault="00EF3343">
      <w:r>
        <w:lastRenderedPageBreak/>
        <w:t>The toolkit strongly recommends that communication teams work in tandem with victim-support services and analysts. Media guidance also matters. Trafficking reporting and campaigning can unintentionally stigmatise, sensationalise, or reveal identities. Ethical communication requires privacy, precision in language, careful image use, and avoidance of narratives that reduce people to spectacle. Strategic communication is therefore both an operational and an ethical function.</w:t>
      </w:r>
    </w:p>
    <w:p w14:paraId="493EAC2B" w14:textId="77777777" w:rsidR="00CF2C65" w:rsidRDefault="00EF3343">
      <w:pPr>
        <w:pStyle w:val="Puntoelenco"/>
      </w:pPr>
      <w:r>
        <w:t>Define the target behaviour before selecting the channel.</w:t>
      </w:r>
    </w:p>
    <w:p w14:paraId="045FD819" w14:textId="77777777" w:rsidR="00CF2C65" w:rsidRDefault="00EF3343">
      <w:pPr>
        <w:pStyle w:val="Puntoelenco"/>
      </w:pPr>
      <w:r>
        <w:t>Base messages on real indicators and real audience needs, not assumptions.</w:t>
      </w:r>
    </w:p>
    <w:p w14:paraId="6BF1EED4" w14:textId="77777777" w:rsidR="00CF2C65" w:rsidRDefault="00EF3343">
      <w:pPr>
        <w:pStyle w:val="Puntoelenco"/>
      </w:pPr>
      <w:r>
        <w:t>Use multilingual, culturally appropriate, and platform-appropriate formats.</w:t>
      </w:r>
    </w:p>
    <w:p w14:paraId="3B641A40" w14:textId="77777777" w:rsidR="00CF2C65" w:rsidRDefault="00EF3343">
      <w:pPr>
        <w:pStyle w:val="Puntoelenco"/>
      </w:pPr>
      <w:r>
        <w:t>Never compromise victim privacy or ongoing operations for visibility.</w:t>
      </w:r>
    </w:p>
    <w:p w14:paraId="0A4FDDFF" w14:textId="77777777" w:rsidR="00CF2C65" w:rsidRDefault="00EF3343">
      <w:pPr>
        <w:pStyle w:val="Puntoelenco"/>
      </w:pPr>
      <w:r>
        <w:t>Measure outputs and outcomes, then adapt the campaign accordingly.</w:t>
      </w:r>
    </w:p>
    <w:p w14:paraId="350443D3" w14:textId="77777777" w:rsidR="00CF2C65" w:rsidRDefault="00EF3343">
      <w:pPr>
        <w:pStyle w:val="Titolo1"/>
      </w:pPr>
      <w:bookmarkStart w:id="19" w:name="_Toc229487761"/>
      <w:r>
        <w:t>17. Information Sharing, Data Protection, and Record-Keeping</w:t>
      </w:r>
      <w:bookmarkEnd w:id="19"/>
    </w:p>
    <w:p w14:paraId="7FAAB45D" w14:textId="77777777" w:rsidR="00CF2C65" w:rsidRDefault="00EF3343">
      <w:r>
        <w:t>Data protection is not an obstacle to cooperation; it is one of the conditions for trustworthy cooperation. The D1.4 tender explicitly references GDPR-aligned data protection commitments, and any multi-agency mechanism should reflect this at operational level. Information sharing should be lawful, necessary, proportionate, secure, and auditable. Partners should know not only what they may share, but what they must not share.</w:t>
      </w:r>
    </w:p>
    <w:p w14:paraId="52D65543" w14:textId="77777777" w:rsidR="00CF2C65" w:rsidRDefault="00EF3343">
      <w:r>
        <w:t>This toolkit recommends three categories of shared material: strategic information, operational information, and evidential material. Strategic information includes patterns, anonymised risk trends, and lessons learned. Operational information includes named or identifying material shared to protect a person, coordinate a response, or develop a case. Evidential material includes preserved and controlled material handled under criminal-procedure or equivalent evidential rules. Mixing these categories creates</w:t>
      </w:r>
      <w:r>
        <w:t xml:space="preserve"> confusion and risk.</w:t>
      </w:r>
    </w:p>
    <w:p w14:paraId="0391C063" w14:textId="77777777" w:rsidR="00CF2C65" w:rsidRDefault="00EF3343">
      <w:r>
        <w:t>A minimal record-keeping package should include: a partner register; legal basis or protocol references; meeting minutes; action logs; information-sharing logs; risk registers; case decision records; campaign approval records; and training/competence records for staff using sensitive tools. Secure but usable record systems are essential; if documentation is too burdensome, teams will bypass it.</w:t>
      </w:r>
    </w:p>
    <w:p w14:paraId="098E4FAA" w14:textId="77777777" w:rsidR="00CF2C65" w:rsidRDefault="00EF3343">
      <w:pPr>
        <w:pStyle w:val="Numeroelenco"/>
      </w:pPr>
      <w:r>
        <w:t>Define the category of information before sharing it.</w:t>
      </w:r>
    </w:p>
    <w:p w14:paraId="3392DAFD" w14:textId="77777777" w:rsidR="00CF2C65" w:rsidRDefault="00EF3343">
      <w:pPr>
        <w:pStyle w:val="Numeroelenco"/>
      </w:pPr>
      <w:r>
        <w:t>Check legal basis, purpose, necessity, and recipient need-to-know.</w:t>
      </w:r>
    </w:p>
    <w:p w14:paraId="23E7F886" w14:textId="77777777" w:rsidR="00CF2C65" w:rsidRDefault="00EF3343">
      <w:pPr>
        <w:pStyle w:val="Numeroelenco"/>
      </w:pPr>
      <w:r>
        <w:t>Use secure channels and log significant exchanges.</w:t>
      </w:r>
    </w:p>
    <w:p w14:paraId="1535F3A4" w14:textId="77777777" w:rsidR="00CF2C65" w:rsidRDefault="00EF3343">
      <w:pPr>
        <w:pStyle w:val="Numeroelenco"/>
      </w:pPr>
      <w:r>
        <w:t>Separate working intelligence, victim-support notes, and evidential material where required.</w:t>
      </w:r>
    </w:p>
    <w:p w14:paraId="51D08E94" w14:textId="77777777" w:rsidR="00CF2C65" w:rsidRDefault="00EF3343">
      <w:pPr>
        <w:pStyle w:val="Numeroelenco"/>
      </w:pPr>
      <w:r>
        <w:t>Review retention and deletion periods routinely.</w:t>
      </w:r>
    </w:p>
    <w:p w14:paraId="48FA9FDA" w14:textId="77777777" w:rsidR="00CF2C65" w:rsidRDefault="00EF3343">
      <w:pPr>
        <w:pStyle w:val="Titolo1"/>
      </w:pPr>
      <w:bookmarkStart w:id="20" w:name="_Toc229487762"/>
      <w:r>
        <w:lastRenderedPageBreak/>
        <w:t>18. Training Architecture and Competence Standards</w:t>
      </w:r>
      <w:bookmarkEnd w:id="20"/>
    </w:p>
    <w:p w14:paraId="51D3511A" w14:textId="77777777" w:rsidR="00CF2C65" w:rsidRDefault="00EF3343">
      <w:r>
        <w:t>Capability-building is one of the strongest cross-cutting needs identified in the source materials. Training should therefore be built as an architecture, not a one-off event. The toolkit recommends three levels: foundation, practitioner, and specialist. Foundation training is for all partner organisations and covers trafficking basics, victim-centred practice, indicators, referral, and ethical communication. Practitioner training is for investigators, analysts, prosecutors, and case managers and covers cas</w:t>
      </w:r>
      <w:r>
        <w:t>e workflow, digital capture, corroboration, and multi-agency coordination. Specialist training covers mobile forensics, advanced OSINT, financial tracing, document examination, undercover online work, and cross-border judicial tools.</w:t>
      </w:r>
    </w:p>
    <w:p w14:paraId="32DB234B" w14:textId="77777777" w:rsidR="00CF2C65" w:rsidRDefault="00EF3343">
      <w:r>
        <w:t>Training should be role-specific but interoperable. A prosecutor does not need the same technical depth as a forensic examiner, but each should understand the other’s constraints and opportunities. Scenario-based training is strongly recommended because it reveals handover failures, language gaps, and evidential misunderstandings that slide-based learning often misses.</w:t>
      </w:r>
    </w:p>
    <w:p w14:paraId="1BE5CDB7" w14:textId="77777777" w:rsidR="00CF2C65" w:rsidRDefault="00EF3343">
      <w:r>
        <w:t>Competence should be documented. Equipment access and advanced investigative tasks should depend on role, training completion, and supervision arrangements. Refresher training is especially important for high-change areas such as platform ecology, device extraction, and crypto-enabled payment systems.</w:t>
      </w:r>
    </w:p>
    <w:tbl>
      <w:tblPr>
        <w:tblStyle w:val="Grigliatabella"/>
        <w:tblW w:w="0" w:type="auto"/>
        <w:jc w:val="center"/>
        <w:tblLook w:val="04A0" w:firstRow="1" w:lastRow="0" w:firstColumn="1" w:lastColumn="0" w:noHBand="0" w:noVBand="1"/>
      </w:tblPr>
      <w:tblGrid>
        <w:gridCol w:w="3212"/>
        <w:gridCol w:w="3213"/>
        <w:gridCol w:w="3213"/>
      </w:tblGrid>
      <w:tr w:rsidR="00CF2C65" w14:paraId="197833E4" w14:textId="77777777">
        <w:trPr>
          <w:jc w:val="center"/>
        </w:trPr>
        <w:tc>
          <w:tcPr>
            <w:tcW w:w="3216" w:type="dxa"/>
            <w:shd w:val="clear" w:color="auto" w:fill="D9EAF7"/>
            <w:vAlign w:val="center"/>
          </w:tcPr>
          <w:p w14:paraId="5A11944F" w14:textId="77777777" w:rsidR="00CF2C65" w:rsidRDefault="00EF3343">
            <w:r>
              <w:rPr>
                <w:b/>
              </w:rPr>
              <w:t>Training level</w:t>
            </w:r>
          </w:p>
        </w:tc>
        <w:tc>
          <w:tcPr>
            <w:tcW w:w="3216" w:type="dxa"/>
            <w:shd w:val="clear" w:color="auto" w:fill="D9EAF7"/>
            <w:vAlign w:val="center"/>
          </w:tcPr>
          <w:p w14:paraId="6F7388B1" w14:textId="77777777" w:rsidR="00CF2C65" w:rsidRDefault="00EF3343">
            <w:r>
              <w:rPr>
                <w:b/>
              </w:rPr>
              <w:t>Audience</w:t>
            </w:r>
          </w:p>
        </w:tc>
        <w:tc>
          <w:tcPr>
            <w:tcW w:w="3216" w:type="dxa"/>
            <w:shd w:val="clear" w:color="auto" w:fill="D9EAF7"/>
            <w:vAlign w:val="center"/>
          </w:tcPr>
          <w:p w14:paraId="3E4FE104" w14:textId="77777777" w:rsidR="00CF2C65" w:rsidRDefault="00EF3343">
            <w:r>
              <w:rPr>
                <w:b/>
              </w:rPr>
              <w:t>Suggested content</w:t>
            </w:r>
          </w:p>
        </w:tc>
      </w:tr>
      <w:tr w:rsidR="00CF2C65" w14:paraId="3BEA4AA4" w14:textId="77777777">
        <w:trPr>
          <w:jc w:val="center"/>
        </w:trPr>
        <w:tc>
          <w:tcPr>
            <w:tcW w:w="3216" w:type="dxa"/>
            <w:vAlign w:val="center"/>
          </w:tcPr>
          <w:p w14:paraId="336B78B6" w14:textId="77777777" w:rsidR="00CF2C65" w:rsidRDefault="00EF3343">
            <w:r>
              <w:t>Foundation</w:t>
            </w:r>
          </w:p>
        </w:tc>
        <w:tc>
          <w:tcPr>
            <w:tcW w:w="3216" w:type="dxa"/>
            <w:vAlign w:val="center"/>
          </w:tcPr>
          <w:p w14:paraId="3D02B183" w14:textId="77777777" w:rsidR="00CF2C65" w:rsidRDefault="00EF3343">
            <w:r>
              <w:t>All partners</w:t>
            </w:r>
          </w:p>
        </w:tc>
        <w:tc>
          <w:tcPr>
            <w:tcW w:w="3216" w:type="dxa"/>
            <w:vAlign w:val="center"/>
          </w:tcPr>
          <w:p w14:paraId="2B60CECD" w14:textId="77777777" w:rsidR="00CF2C65" w:rsidRDefault="00EF3343">
            <w:r>
              <w:t>THB concepts, vulnerabilities, indicators, referral, privacy, ethical communication.</w:t>
            </w:r>
          </w:p>
        </w:tc>
      </w:tr>
      <w:tr w:rsidR="00CF2C65" w14:paraId="4BDE81E3" w14:textId="77777777">
        <w:trPr>
          <w:jc w:val="center"/>
        </w:trPr>
        <w:tc>
          <w:tcPr>
            <w:tcW w:w="3216" w:type="dxa"/>
            <w:vAlign w:val="center"/>
          </w:tcPr>
          <w:p w14:paraId="263E49F3" w14:textId="77777777" w:rsidR="00CF2C65" w:rsidRDefault="00EF3343">
            <w:r>
              <w:t>Practitioner</w:t>
            </w:r>
          </w:p>
        </w:tc>
        <w:tc>
          <w:tcPr>
            <w:tcW w:w="3216" w:type="dxa"/>
            <w:vAlign w:val="center"/>
          </w:tcPr>
          <w:p w14:paraId="3EA7B6FC" w14:textId="77777777" w:rsidR="00CF2C65" w:rsidRDefault="00EF3343">
            <w:r>
              <w:t>Investigators, prosecutors, analysts, case managers</w:t>
            </w:r>
          </w:p>
        </w:tc>
        <w:tc>
          <w:tcPr>
            <w:tcW w:w="3216" w:type="dxa"/>
            <w:vAlign w:val="center"/>
          </w:tcPr>
          <w:p w14:paraId="4323B4DE" w14:textId="77777777" w:rsidR="00CF2C65" w:rsidRDefault="00EF3343">
            <w:r>
              <w:t>Workflow, digital capture, corroboration, multi-agency meetings, case planning, victim support interfaces.</w:t>
            </w:r>
          </w:p>
        </w:tc>
      </w:tr>
      <w:tr w:rsidR="00CF2C65" w14:paraId="289666CC" w14:textId="77777777">
        <w:trPr>
          <w:jc w:val="center"/>
        </w:trPr>
        <w:tc>
          <w:tcPr>
            <w:tcW w:w="3216" w:type="dxa"/>
            <w:vAlign w:val="center"/>
          </w:tcPr>
          <w:p w14:paraId="3229C81E" w14:textId="77777777" w:rsidR="00CF2C65" w:rsidRDefault="00EF3343">
            <w:r>
              <w:t>Specialist</w:t>
            </w:r>
          </w:p>
        </w:tc>
        <w:tc>
          <w:tcPr>
            <w:tcW w:w="3216" w:type="dxa"/>
            <w:vAlign w:val="center"/>
          </w:tcPr>
          <w:p w14:paraId="07EEFAE6" w14:textId="77777777" w:rsidR="00CF2C65" w:rsidRDefault="00EF3343">
            <w:r>
              <w:t>Forensic, SIGINT, OSINT, financial, document experts</w:t>
            </w:r>
          </w:p>
        </w:tc>
        <w:tc>
          <w:tcPr>
            <w:tcW w:w="3216" w:type="dxa"/>
            <w:vAlign w:val="center"/>
          </w:tcPr>
          <w:p w14:paraId="761BEE6B" w14:textId="77777777" w:rsidR="00CF2C65" w:rsidRDefault="00EF3343">
            <w:r>
              <w:t>Advanced tool use, legal thresholds, lab workflows, quality assurance, disclosure and reporting.</w:t>
            </w:r>
          </w:p>
        </w:tc>
      </w:tr>
    </w:tbl>
    <w:p w14:paraId="2CF2778D" w14:textId="77777777" w:rsidR="00CF2C65" w:rsidRDefault="00CF2C65"/>
    <w:p w14:paraId="6CE13516" w14:textId="77777777" w:rsidR="00CF2C65" w:rsidRDefault="00EF3343">
      <w:pPr>
        <w:pStyle w:val="Titolo1"/>
      </w:pPr>
      <w:bookmarkStart w:id="21" w:name="_Toc229487763"/>
      <w:r>
        <w:lastRenderedPageBreak/>
        <w:t>19. Monitoring, KPIs, and Learning Loops</w:t>
      </w:r>
      <w:bookmarkEnd w:id="21"/>
    </w:p>
    <w:p w14:paraId="16BE772B" w14:textId="77777777" w:rsidR="00CF2C65" w:rsidRDefault="00EF3343">
      <w:r>
        <w:t>Monitoring should not be reduced to output counting. A strong D4.1 implementation framework needs indicators that show whether the mechanism is becoming faster, safer, and more effective. KPIs should therefore cover process, capability, safeguarding, and outcome domains.</w:t>
      </w:r>
    </w:p>
    <w:p w14:paraId="23EE6EEF" w14:textId="77777777" w:rsidR="00CF2C65" w:rsidRDefault="00EF3343">
      <w:r>
        <w:t>Process indicators may include time from signal to triage, time from presumed-victim identification to first assistance, number of cases with named leads, and proportion of cases reviewed. Capability indicators may include number of trained staff by level, percentage of relevant staff with refresher training, and number of joint exercises completed. Safeguarding indicators may include number of referrals, proportion of referrals receiving interpretation, and documented victim information on legal options. O</w:t>
      </w:r>
      <w:r>
        <w:t>utcome indicators may include cases opened, assets restrained, harmful content removed or reported, campaigns delivered, and lessons adopted into SOP updates.</w:t>
      </w:r>
    </w:p>
    <w:p w14:paraId="0D229727" w14:textId="77777777" w:rsidR="00CF2C65" w:rsidRDefault="00EF3343">
      <w:r>
        <w:t>Learning loops require deliberate review. The toolkit recommends a monthly operational review for live trends and a quarterly structured learning review for case lessons, campaign performance, and training needs. Findings should update indicators, keyword banks, templates, and partner protocols.</w:t>
      </w:r>
    </w:p>
    <w:p w14:paraId="030D5BDC" w14:textId="77777777" w:rsidR="00CF2C65" w:rsidRDefault="00EF3343">
      <w:pPr>
        <w:pStyle w:val="Puntoelenco"/>
      </w:pPr>
      <w:r>
        <w:t>Do not measure activity alone; measure timeliness, quality, and protection.</w:t>
      </w:r>
    </w:p>
    <w:p w14:paraId="3289AC3D" w14:textId="77777777" w:rsidR="00CF2C65" w:rsidRDefault="00EF3343">
      <w:pPr>
        <w:pStyle w:val="Puntoelenco"/>
      </w:pPr>
      <w:r>
        <w:t>Separate case metrics from campaign metrics.</w:t>
      </w:r>
    </w:p>
    <w:p w14:paraId="66A1652B" w14:textId="77777777" w:rsidR="00CF2C65" w:rsidRDefault="00EF3343">
      <w:pPr>
        <w:pStyle w:val="Puntoelenco"/>
      </w:pPr>
      <w:r>
        <w:t>Track training uptake and actual operational use of trained capability.</w:t>
      </w:r>
    </w:p>
    <w:p w14:paraId="58B31EA0" w14:textId="77777777" w:rsidR="00CF2C65" w:rsidRDefault="00EF3343">
      <w:pPr>
        <w:pStyle w:val="Puntoelenco"/>
      </w:pPr>
      <w:r>
        <w:t>Review whether indicators remain current as traffickers adapt language and platforms.</w:t>
      </w:r>
    </w:p>
    <w:p w14:paraId="6AAAD190" w14:textId="77777777" w:rsidR="00CF2C65" w:rsidRDefault="00EF3343">
      <w:pPr>
        <w:pStyle w:val="Puntoelenco"/>
      </w:pPr>
      <w:r>
        <w:t>Feed review findings into revised SOPs and future procurement decisions.</w:t>
      </w:r>
    </w:p>
    <w:p w14:paraId="363681AA" w14:textId="77777777" w:rsidR="00CF2C65" w:rsidRDefault="00EF3343">
      <w:pPr>
        <w:pStyle w:val="Titolo1"/>
      </w:pPr>
      <w:bookmarkStart w:id="22" w:name="_Toc229487764"/>
      <w:r>
        <w:t>20. Implementation Roadmap for a Local Pilot</w:t>
      </w:r>
      <w:bookmarkEnd w:id="22"/>
    </w:p>
    <w:p w14:paraId="6419365D" w14:textId="77777777" w:rsidR="00CF2C65" w:rsidRDefault="00EF3343">
      <w:r>
        <w:t xml:space="preserve">This section turns the toolkit into an action plan. A local pilot can usually be established in four phases over six to nine months, depending on readiness. Phase 1 is mobilisation: identify partners, nominate focal points, agree initial objectives, and map existing procedures. Phase 2 is protocol design: approve the workflow, referral triggers, sharing rules, campaign governance, and equipment-access rules. Phase 3 is capability activation: deliver priority training, set up tool access, configure logs and </w:t>
      </w:r>
      <w:r>
        <w:t>templates, and conduct a scenario exercise. Phase 4 is live piloting: run the workflow on selected cases or hotspots, review monthly, and adjust.</w:t>
      </w:r>
    </w:p>
    <w:p w14:paraId="3647854C" w14:textId="77777777" w:rsidR="00CF2C65" w:rsidRDefault="00EF3343">
      <w:r>
        <w:t xml:space="preserve">Pilots should start small. A narrow scope with reliable review is more valuable than a broad scope with uncontrolled variation. Many teams benefit from choosing one dominant risk environment, such as online recruitment in migrant-work spaces, repeated sexual-service </w:t>
      </w:r>
      <w:r>
        <w:lastRenderedPageBreak/>
        <w:t>advertisement in one city cluster, or a cross-border route with strong local knowledge and existing partner trust.</w:t>
      </w:r>
    </w:p>
    <w:p w14:paraId="70D18395" w14:textId="77777777" w:rsidR="00CF2C65" w:rsidRDefault="00EF3343">
      <w:r>
        <w:t>A final pilot report should document both operational gains and barriers. This includes legal barriers, technology gaps, training gaps, partner availability, data-protection issues, language needs, and any tensions between urgency and process. The purpose is transferability, not self-congratulation.</w:t>
      </w:r>
    </w:p>
    <w:p w14:paraId="30B1D634" w14:textId="77777777" w:rsidR="00CF2C65" w:rsidRDefault="00EF3343">
      <w:pPr>
        <w:pStyle w:val="Numeroelenco"/>
      </w:pPr>
      <w:r>
        <w:t>Map partners, powers, and existing workflows.</w:t>
      </w:r>
    </w:p>
    <w:p w14:paraId="31735219" w14:textId="77777777" w:rsidR="00CF2C65" w:rsidRDefault="00EF3343">
      <w:pPr>
        <w:pStyle w:val="Numeroelenco"/>
      </w:pPr>
      <w:r>
        <w:t>Approve a pilot protocol and define scope.</w:t>
      </w:r>
    </w:p>
    <w:p w14:paraId="30214E51" w14:textId="77777777" w:rsidR="00CF2C65" w:rsidRDefault="00EF3343">
      <w:pPr>
        <w:pStyle w:val="Numeroelenco"/>
      </w:pPr>
      <w:r>
        <w:t>Train focal points and specialist users.</w:t>
      </w:r>
    </w:p>
    <w:p w14:paraId="08C64CF9" w14:textId="77777777" w:rsidR="00CF2C65" w:rsidRDefault="00EF3343">
      <w:pPr>
        <w:pStyle w:val="Numeroelenco"/>
      </w:pPr>
      <w:r>
        <w:t>Run one tabletop and one live or simulated exercise.</w:t>
      </w:r>
    </w:p>
    <w:p w14:paraId="3A83B43D" w14:textId="77777777" w:rsidR="00CF2C65" w:rsidRDefault="00EF3343">
      <w:pPr>
        <w:pStyle w:val="Numeroelenco"/>
      </w:pPr>
      <w:r>
        <w:t>Pilot on selected cases or hotspots with monthly review.</w:t>
      </w:r>
    </w:p>
    <w:p w14:paraId="69A66272" w14:textId="77777777" w:rsidR="00CF2C65" w:rsidRDefault="00EF3343">
      <w:pPr>
        <w:pStyle w:val="Numeroelenco"/>
      </w:pPr>
      <w:r>
        <w:t>Document lessons and revise the local toolkit annexes.</w:t>
      </w:r>
    </w:p>
    <w:p w14:paraId="2F1BAAE6" w14:textId="77777777" w:rsidR="00CF2C65" w:rsidRDefault="00EF3343">
      <w:pPr>
        <w:pStyle w:val="Titolo1"/>
      </w:pPr>
      <w:bookmarkStart w:id="23" w:name="_Toc229487765"/>
      <w:r>
        <w:t>Annex A. Multi-Agency Meeting Template</w:t>
      </w:r>
      <w:bookmarkEnd w:id="23"/>
    </w:p>
    <w:p w14:paraId="5377FA38" w14:textId="77777777" w:rsidR="00CF2C65" w:rsidRDefault="00EF3343">
      <w:r>
        <w:t>Use this template for steering, operational, or case meetings. It is intentionally simple and should be adapted to local systems.</w:t>
      </w:r>
    </w:p>
    <w:p w14:paraId="3CC706D1" w14:textId="77777777" w:rsidR="00CF2C65" w:rsidRDefault="00EF3343">
      <w:pPr>
        <w:pStyle w:val="Puntoelenco"/>
      </w:pPr>
      <w:r>
        <w:t>Meeting type and reference number</w:t>
      </w:r>
    </w:p>
    <w:p w14:paraId="3A5D5CEA" w14:textId="77777777" w:rsidR="00CF2C65" w:rsidRDefault="00EF3343">
      <w:pPr>
        <w:pStyle w:val="Puntoelenco"/>
      </w:pPr>
      <w:r>
        <w:t>Date, time, chair, minute-taker, attending organisations</w:t>
      </w:r>
    </w:p>
    <w:p w14:paraId="2AC24072" w14:textId="77777777" w:rsidR="00CF2C65" w:rsidRDefault="00EF3343">
      <w:pPr>
        <w:pStyle w:val="Puntoelenco"/>
      </w:pPr>
      <w:r>
        <w:t>Purpose of meeting and agenda</w:t>
      </w:r>
    </w:p>
    <w:p w14:paraId="792F1B2B" w14:textId="77777777" w:rsidR="00CF2C65" w:rsidRDefault="00EF3343">
      <w:pPr>
        <w:pStyle w:val="Puntoelenco"/>
      </w:pPr>
      <w:r>
        <w:t>Case or topic summary</w:t>
      </w:r>
    </w:p>
    <w:p w14:paraId="1F3244F2" w14:textId="77777777" w:rsidR="00CF2C65" w:rsidRDefault="00EF3343">
      <w:pPr>
        <w:pStyle w:val="Puntoelenco"/>
      </w:pPr>
      <w:r>
        <w:t>New signals or developments since last meeting</w:t>
      </w:r>
    </w:p>
    <w:p w14:paraId="668BC95C" w14:textId="77777777" w:rsidR="00CF2C65" w:rsidRDefault="00EF3343">
      <w:pPr>
        <w:pStyle w:val="Puntoelenco"/>
      </w:pPr>
      <w:r>
        <w:t>Victim-safeguarding issues and agreed actions</w:t>
      </w:r>
    </w:p>
    <w:p w14:paraId="1BB8B946" w14:textId="77777777" w:rsidR="00CF2C65" w:rsidRDefault="00EF3343">
      <w:pPr>
        <w:pStyle w:val="Puntoelenco"/>
      </w:pPr>
      <w:r>
        <w:t>Investigative actions and owners</w:t>
      </w:r>
    </w:p>
    <w:p w14:paraId="18A866A8" w14:textId="77777777" w:rsidR="00CF2C65" w:rsidRDefault="00EF3343">
      <w:pPr>
        <w:pStyle w:val="Puntoelenco"/>
      </w:pPr>
      <w:r>
        <w:t>Information-sharing decisions and legal basis where relevant</w:t>
      </w:r>
    </w:p>
    <w:p w14:paraId="0F7705AA" w14:textId="77777777" w:rsidR="00CF2C65" w:rsidRDefault="00EF3343">
      <w:pPr>
        <w:pStyle w:val="Puntoelenco"/>
      </w:pPr>
      <w:r>
        <w:t>Campaign or communication actions and approvals</w:t>
      </w:r>
    </w:p>
    <w:p w14:paraId="6420FAEF" w14:textId="77777777" w:rsidR="00CF2C65" w:rsidRDefault="00EF3343">
      <w:pPr>
        <w:pStyle w:val="Puntoelenco"/>
      </w:pPr>
      <w:r>
        <w:t>Risks, blockers, escalation points, and next review date</w:t>
      </w:r>
    </w:p>
    <w:p w14:paraId="60479B28" w14:textId="77777777" w:rsidR="00CF2C65" w:rsidRDefault="00EF3343">
      <w:pPr>
        <w:pStyle w:val="Titolo1"/>
      </w:pPr>
      <w:bookmarkStart w:id="24" w:name="_Toc229487766"/>
      <w:r>
        <w:t>Annex B. Initial Digital Lead Triage Form</w:t>
      </w:r>
      <w:bookmarkEnd w:id="24"/>
    </w:p>
    <w:p w14:paraId="361842CC" w14:textId="77777777" w:rsidR="00CF2C65" w:rsidRDefault="00EF3343">
      <w:r>
        <w:t>Suggested fields for a first triage form are listed below. The form may be electronic or paper-based, but it should feed a secure case-management or intelligence system as soon as possible.</w:t>
      </w:r>
    </w:p>
    <w:p w14:paraId="5BC749D9" w14:textId="77777777" w:rsidR="00CF2C65" w:rsidRDefault="00EF3343">
      <w:pPr>
        <w:pStyle w:val="Puntoelenco"/>
      </w:pPr>
      <w:r>
        <w:t>Unique reference number</w:t>
      </w:r>
    </w:p>
    <w:p w14:paraId="0768FD73" w14:textId="77777777" w:rsidR="00CF2C65" w:rsidRDefault="00EF3343">
      <w:pPr>
        <w:pStyle w:val="Puntoelenco"/>
      </w:pPr>
      <w:r>
        <w:t>Source of signal</w:t>
      </w:r>
    </w:p>
    <w:p w14:paraId="61CFE2AB" w14:textId="77777777" w:rsidR="00CF2C65" w:rsidRDefault="00EF3343">
      <w:pPr>
        <w:pStyle w:val="Puntoelenco"/>
      </w:pPr>
      <w:r>
        <w:t>Date/time received</w:t>
      </w:r>
    </w:p>
    <w:p w14:paraId="7F37954E" w14:textId="77777777" w:rsidR="00CF2C65" w:rsidRDefault="00EF3343">
      <w:pPr>
        <w:pStyle w:val="Puntoelenco"/>
      </w:pPr>
      <w:r>
        <w:lastRenderedPageBreak/>
        <w:t>Collector or receiving officer</w:t>
      </w:r>
    </w:p>
    <w:p w14:paraId="1267D3B7" w14:textId="77777777" w:rsidR="00CF2C65" w:rsidRDefault="00EF3343">
      <w:pPr>
        <w:pStyle w:val="Puntoelenco"/>
      </w:pPr>
      <w:r>
        <w:t>Platform/site/channel involved</w:t>
      </w:r>
    </w:p>
    <w:p w14:paraId="3431C90E" w14:textId="77777777" w:rsidR="00CF2C65" w:rsidRDefault="00EF3343">
      <w:pPr>
        <w:pStyle w:val="Puntoelenco"/>
      </w:pPr>
      <w:r>
        <w:t>Summary of content</w:t>
      </w:r>
    </w:p>
    <w:p w14:paraId="74FAF30D" w14:textId="77777777" w:rsidR="00CF2C65" w:rsidRDefault="00EF3343">
      <w:pPr>
        <w:pStyle w:val="Puntoelenco"/>
      </w:pPr>
      <w:r>
        <w:t>Indicators observed</w:t>
      </w:r>
    </w:p>
    <w:p w14:paraId="5A4B392D" w14:textId="77777777" w:rsidR="00CF2C65" w:rsidRDefault="00EF3343">
      <w:pPr>
        <w:pStyle w:val="Puntoelenco"/>
      </w:pPr>
      <w:r>
        <w:t>Immediate safeguarding concerns</w:t>
      </w:r>
    </w:p>
    <w:p w14:paraId="12DD4C24" w14:textId="77777777" w:rsidR="00CF2C65" w:rsidRDefault="00EF3343">
      <w:pPr>
        <w:pStyle w:val="Puntoelenco"/>
      </w:pPr>
      <w:r>
        <w:t>Evidence-preservation steps taken</w:t>
      </w:r>
    </w:p>
    <w:p w14:paraId="4EBEBDEB" w14:textId="77777777" w:rsidR="00CF2C65" w:rsidRDefault="00EF3343">
      <w:pPr>
        <w:pStyle w:val="Puntoelenco"/>
      </w:pPr>
      <w:r>
        <w:t>Need for interpreter or specialist support</w:t>
      </w:r>
    </w:p>
    <w:p w14:paraId="0688CD19" w14:textId="77777777" w:rsidR="00CF2C65" w:rsidRDefault="00EF3343">
      <w:pPr>
        <w:pStyle w:val="Puntoelenco"/>
      </w:pPr>
      <w:r>
        <w:t>Lead agency designated</w:t>
      </w:r>
    </w:p>
    <w:p w14:paraId="4930DAB3" w14:textId="77777777" w:rsidR="00CF2C65" w:rsidRDefault="00EF3343">
      <w:pPr>
        <w:pStyle w:val="Puntoelenco"/>
      </w:pPr>
      <w:r>
        <w:t>Decision: monitor / escalate / refer / close / other</w:t>
      </w:r>
    </w:p>
    <w:p w14:paraId="7242DBB7" w14:textId="77777777" w:rsidR="00CF2C65" w:rsidRDefault="00EF3343">
      <w:pPr>
        <w:pStyle w:val="Titolo1"/>
      </w:pPr>
      <w:bookmarkStart w:id="25" w:name="_Toc229487767"/>
      <w:r>
        <w:t>Annex C. Presumed Victim Safeguarding Checklist</w:t>
      </w:r>
      <w:bookmarkEnd w:id="25"/>
    </w:p>
    <w:p w14:paraId="09F401C1" w14:textId="77777777" w:rsidR="00CF2C65" w:rsidRDefault="00EF3343">
      <w:r>
        <w:t>This checklist is designed for the first hours after identification or referral. It should always be used in a trauma-informed manner and should never become a mechanical interview script.</w:t>
      </w:r>
    </w:p>
    <w:p w14:paraId="70F40FC5" w14:textId="77777777" w:rsidR="00CF2C65" w:rsidRDefault="00EF3343">
      <w:pPr>
        <w:pStyle w:val="Numeroelenco"/>
      </w:pPr>
      <w:r>
        <w:t>Check immediate safety and whether urgent relocation is needed.</w:t>
      </w:r>
    </w:p>
    <w:p w14:paraId="5E0DDD6B" w14:textId="77777777" w:rsidR="00CF2C65" w:rsidRDefault="00EF3343">
      <w:pPr>
        <w:pStyle w:val="Numeroelenco"/>
      </w:pPr>
      <w:r>
        <w:t>Assess health needs, including emergency care and medication access.</w:t>
      </w:r>
    </w:p>
    <w:p w14:paraId="54F43E97" w14:textId="77777777" w:rsidR="00CF2C65" w:rsidRDefault="00EF3343">
      <w:pPr>
        <w:pStyle w:val="Numeroelenco"/>
      </w:pPr>
      <w:r>
        <w:t>Arrange interpretation and cultural mediation if needed.</w:t>
      </w:r>
    </w:p>
    <w:p w14:paraId="39121633" w14:textId="77777777" w:rsidR="00CF2C65" w:rsidRDefault="00EF3343">
      <w:pPr>
        <w:pStyle w:val="Numeroelenco"/>
      </w:pPr>
      <w:r>
        <w:t>Provide clear information about rights, support, and available options.</w:t>
      </w:r>
    </w:p>
    <w:p w14:paraId="05EA7939" w14:textId="77777777" w:rsidR="00CF2C65" w:rsidRDefault="00EF3343">
      <w:pPr>
        <w:pStyle w:val="Numeroelenco"/>
      </w:pPr>
      <w:r>
        <w:t>Avoid detailed formal interviewing if the person is distressed, unsafe, or lacks privacy.</w:t>
      </w:r>
    </w:p>
    <w:p w14:paraId="0F393941" w14:textId="77777777" w:rsidR="00CF2C65" w:rsidRDefault="00EF3343">
      <w:pPr>
        <w:pStyle w:val="Numeroelenco"/>
      </w:pPr>
      <w:r>
        <w:t>Record consent decisions and any limits placed by the person on information sharing.</w:t>
      </w:r>
    </w:p>
    <w:p w14:paraId="21563946" w14:textId="77777777" w:rsidR="00CF2C65" w:rsidRDefault="00EF3343">
      <w:pPr>
        <w:pStyle w:val="Numeroelenco"/>
      </w:pPr>
      <w:r>
        <w:t>Consider child-protection procedures where age is uncertain or minority is indicated.</w:t>
      </w:r>
    </w:p>
    <w:p w14:paraId="03DFF0ED" w14:textId="77777777" w:rsidR="00CF2C65" w:rsidRDefault="00EF3343">
      <w:pPr>
        <w:pStyle w:val="Numeroelenco"/>
      </w:pPr>
      <w:r>
        <w:t>Plan follow-up contact and assign a named case manager or support focal point.</w:t>
      </w:r>
    </w:p>
    <w:p w14:paraId="412A53F1" w14:textId="77777777" w:rsidR="00CF2C65" w:rsidRDefault="00EF3343">
      <w:pPr>
        <w:pStyle w:val="Titolo1"/>
      </w:pPr>
      <w:bookmarkStart w:id="26" w:name="_Toc229487768"/>
      <w:r>
        <w:t>Annex D. Sample RACI Matrix for a Case Action Team</w:t>
      </w:r>
      <w:bookmarkEnd w:id="26"/>
    </w:p>
    <w:p w14:paraId="0FE325F6" w14:textId="77777777" w:rsidR="00CF2C65" w:rsidRDefault="00EF3343">
      <w:r>
        <w:t>A simple RACI matrix clarifies who is Responsible, Accountable, Consulted, and Informed for each activity. An example is provided below.</w:t>
      </w:r>
    </w:p>
    <w:tbl>
      <w:tblPr>
        <w:tblStyle w:val="Grigliatabella"/>
        <w:tblW w:w="0" w:type="auto"/>
        <w:jc w:val="center"/>
        <w:tblLayout w:type="fixed"/>
        <w:tblLook w:val="04A0" w:firstRow="1" w:lastRow="0" w:firstColumn="1" w:lastColumn="0" w:noHBand="0" w:noVBand="1"/>
      </w:tblPr>
      <w:tblGrid>
        <w:gridCol w:w="1809"/>
        <w:gridCol w:w="852"/>
        <w:gridCol w:w="1281"/>
        <w:gridCol w:w="935"/>
        <w:gridCol w:w="1353"/>
        <w:gridCol w:w="1827"/>
        <w:gridCol w:w="1807"/>
      </w:tblGrid>
      <w:tr w:rsidR="00CF2C65" w:rsidRPr="00CE7A7B" w14:paraId="453934A8" w14:textId="77777777" w:rsidTr="00CE7A7B">
        <w:trPr>
          <w:jc w:val="center"/>
        </w:trPr>
        <w:tc>
          <w:tcPr>
            <w:tcW w:w="1809" w:type="dxa"/>
            <w:shd w:val="clear" w:color="auto" w:fill="D9EAF7"/>
            <w:vAlign w:val="center"/>
          </w:tcPr>
          <w:p w14:paraId="183406F1" w14:textId="77777777" w:rsidR="00CF2C65" w:rsidRPr="00CE7A7B" w:rsidRDefault="00EF3343">
            <w:pPr>
              <w:rPr>
                <w:sz w:val="20"/>
                <w:szCs w:val="20"/>
              </w:rPr>
            </w:pPr>
            <w:r w:rsidRPr="00CE7A7B">
              <w:rPr>
                <w:b/>
                <w:sz w:val="20"/>
                <w:szCs w:val="20"/>
              </w:rPr>
              <w:t>Activity</w:t>
            </w:r>
          </w:p>
        </w:tc>
        <w:tc>
          <w:tcPr>
            <w:tcW w:w="852" w:type="dxa"/>
            <w:shd w:val="clear" w:color="auto" w:fill="D9EAF7"/>
            <w:vAlign w:val="center"/>
          </w:tcPr>
          <w:p w14:paraId="1EFB0459" w14:textId="77777777" w:rsidR="00CF2C65" w:rsidRPr="00CE7A7B" w:rsidRDefault="00EF3343">
            <w:pPr>
              <w:rPr>
                <w:sz w:val="20"/>
                <w:szCs w:val="20"/>
              </w:rPr>
            </w:pPr>
            <w:r w:rsidRPr="00CE7A7B">
              <w:rPr>
                <w:b/>
                <w:sz w:val="20"/>
                <w:szCs w:val="20"/>
              </w:rPr>
              <w:t xml:space="preserve">LEA </w:t>
            </w:r>
            <w:proofErr w:type="gramStart"/>
            <w:r w:rsidRPr="00CE7A7B">
              <w:rPr>
                <w:b/>
                <w:sz w:val="20"/>
                <w:szCs w:val="20"/>
              </w:rPr>
              <w:t>lead</w:t>
            </w:r>
            <w:proofErr w:type="gramEnd"/>
          </w:p>
        </w:tc>
        <w:tc>
          <w:tcPr>
            <w:tcW w:w="1281" w:type="dxa"/>
            <w:shd w:val="clear" w:color="auto" w:fill="D9EAF7"/>
            <w:vAlign w:val="center"/>
          </w:tcPr>
          <w:p w14:paraId="1EE29809" w14:textId="77777777" w:rsidR="00CF2C65" w:rsidRPr="00CE7A7B" w:rsidRDefault="00EF3343">
            <w:pPr>
              <w:rPr>
                <w:sz w:val="20"/>
                <w:szCs w:val="20"/>
              </w:rPr>
            </w:pPr>
            <w:r w:rsidRPr="00CE7A7B">
              <w:rPr>
                <w:b/>
                <w:sz w:val="20"/>
                <w:szCs w:val="20"/>
              </w:rPr>
              <w:t>Prosecutor</w:t>
            </w:r>
          </w:p>
        </w:tc>
        <w:tc>
          <w:tcPr>
            <w:tcW w:w="935" w:type="dxa"/>
            <w:shd w:val="clear" w:color="auto" w:fill="D9EAF7"/>
            <w:vAlign w:val="center"/>
          </w:tcPr>
          <w:p w14:paraId="75EF529B" w14:textId="77777777" w:rsidR="00CF2C65" w:rsidRPr="00CE7A7B" w:rsidRDefault="00EF3343">
            <w:pPr>
              <w:rPr>
                <w:sz w:val="20"/>
                <w:szCs w:val="20"/>
              </w:rPr>
            </w:pPr>
            <w:r w:rsidRPr="00CE7A7B">
              <w:rPr>
                <w:b/>
                <w:sz w:val="20"/>
                <w:szCs w:val="20"/>
              </w:rPr>
              <w:t>Analyst</w:t>
            </w:r>
          </w:p>
        </w:tc>
        <w:tc>
          <w:tcPr>
            <w:tcW w:w="1353" w:type="dxa"/>
            <w:shd w:val="clear" w:color="auto" w:fill="D9EAF7"/>
            <w:vAlign w:val="center"/>
          </w:tcPr>
          <w:p w14:paraId="7940ED21" w14:textId="77777777" w:rsidR="00CF2C65" w:rsidRPr="00CE7A7B" w:rsidRDefault="00EF3343">
            <w:pPr>
              <w:rPr>
                <w:sz w:val="20"/>
                <w:szCs w:val="20"/>
              </w:rPr>
            </w:pPr>
            <w:r w:rsidRPr="00CE7A7B">
              <w:rPr>
                <w:b/>
                <w:sz w:val="20"/>
                <w:szCs w:val="20"/>
              </w:rPr>
              <w:t>NGO/victim support</w:t>
            </w:r>
          </w:p>
        </w:tc>
        <w:tc>
          <w:tcPr>
            <w:tcW w:w="1827" w:type="dxa"/>
            <w:shd w:val="clear" w:color="auto" w:fill="D9EAF7"/>
            <w:vAlign w:val="center"/>
          </w:tcPr>
          <w:p w14:paraId="4AD60FB0" w14:textId="77777777" w:rsidR="00CF2C65" w:rsidRPr="00CE7A7B" w:rsidRDefault="00EF3343">
            <w:pPr>
              <w:rPr>
                <w:sz w:val="20"/>
                <w:szCs w:val="20"/>
              </w:rPr>
            </w:pPr>
            <w:r w:rsidRPr="00CE7A7B">
              <w:rPr>
                <w:b/>
                <w:sz w:val="20"/>
                <w:szCs w:val="20"/>
              </w:rPr>
              <w:t>Municipal/social service</w:t>
            </w:r>
          </w:p>
        </w:tc>
        <w:tc>
          <w:tcPr>
            <w:tcW w:w="1807" w:type="dxa"/>
            <w:shd w:val="clear" w:color="auto" w:fill="D9EAF7"/>
            <w:vAlign w:val="center"/>
          </w:tcPr>
          <w:p w14:paraId="1124A0CB" w14:textId="77777777" w:rsidR="00CF2C65" w:rsidRPr="00CE7A7B" w:rsidRDefault="00EF3343">
            <w:pPr>
              <w:rPr>
                <w:sz w:val="20"/>
                <w:szCs w:val="20"/>
              </w:rPr>
            </w:pPr>
            <w:r w:rsidRPr="00CE7A7B">
              <w:rPr>
                <w:b/>
                <w:sz w:val="20"/>
                <w:szCs w:val="20"/>
              </w:rPr>
              <w:t>Platform/private partner</w:t>
            </w:r>
          </w:p>
        </w:tc>
      </w:tr>
      <w:tr w:rsidR="00CF2C65" w14:paraId="41AAE526" w14:textId="77777777" w:rsidTr="00CE7A7B">
        <w:trPr>
          <w:jc w:val="center"/>
        </w:trPr>
        <w:tc>
          <w:tcPr>
            <w:tcW w:w="1809" w:type="dxa"/>
            <w:vAlign w:val="center"/>
          </w:tcPr>
          <w:p w14:paraId="3EA5F19D" w14:textId="77777777" w:rsidR="00CF2C65" w:rsidRDefault="00EF3343">
            <w:r>
              <w:t>Initial triage</w:t>
            </w:r>
          </w:p>
        </w:tc>
        <w:tc>
          <w:tcPr>
            <w:tcW w:w="852" w:type="dxa"/>
            <w:vAlign w:val="center"/>
          </w:tcPr>
          <w:p w14:paraId="7F32F30A" w14:textId="77777777" w:rsidR="00CF2C65" w:rsidRDefault="00EF3343">
            <w:r>
              <w:t>A/R</w:t>
            </w:r>
          </w:p>
        </w:tc>
        <w:tc>
          <w:tcPr>
            <w:tcW w:w="1281" w:type="dxa"/>
            <w:vAlign w:val="center"/>
          </w:tcPr>
          <w:p w14:paraId="60A2D31F" w14:textId="77777777" w:rsidR="00CF2C65" w:rsidRDefault="00EF3343">
            <w:r>
              <w:t>I</w:t>
            </w:r>
          </w:p>
        </w:tc>
        <w:tc>
          <w:tcPr>
            <w:tcW w:w="935" w:type="dxa"/>
            <w:vAlign w:val="center"/>
          </w:tcPr>
          <w:p w14:paraId="618A3C47" w14:textId="77777777" w:rsidR="00CF2C65" w:rsidRDefault="00EF3343">
            <w:r>
              <w:t>C</w:t>
            </w:r>
          </w:p>
        </w:tc>
        <w:tc>
          <w:tcPr>
            <w:tcW w:w="1353" w:type="dxa"/>
            <w:vAlign w:val="center"/>
          </w:tcPr>
          <w:p w14:paraId="0F375ED7" w14:textId="77777777" w:rsidR="00CF2C65" w:rsidRDefault="00EF3343">
            <w:r>
              <w:t>C</w:t>
            </w:r>
          </w:p>
        </w:tc>
        <w:tc>
          <w:tcPr>
            <w:tcW w:w="1827" w:type="dxa"/>
            <w:vAlign w:val="center"/>
          </w:tcPr>
          <w:p w14:paraId="5A3E18EC" w14:textId="77777777" w:rsidR="00CF2C65" w:rsidRDefault="00EF3343">
            <w:r>
              <w:t>I</w:t>
            </w:r>
          </w:p>
        </w:tc>
        <w:tc>
          <w:tcPr>
            <w:tcW w:w="1807" w:type="dxa"/>
            <w:vAlign w:val="center"/>
          </w:tcPr>
          <w:p w14:paraId="1B4F0621" w14:textId="77777777" w:rsidR="00CF2C65" w:rsidRDefault="00EF3343">
            <w:r>
              <w:t>I</w:t>
            </w:r>
          </w:p>
        </w:tc>
      </w:tr>
      <w:tr w:rsidR="00CF2C65" w14:paraId="433552C1" w14:textId="77777777" w:rsidTr="00CE7A7B">
        <w:trPr>
          <w:jc w:val="center"/>
        </w:trPr>
        <w:tc>
          <w:tcPr>
            <w:tcW w:w="1809" w:type="dxa"/>
            <w:vAlign w:val="center"/>
          </w:tcPr>
          <w:p w14:paraId="5425AF61" w14:textId="77777777" w:rsidR="00CF2C65" w:rsidRDefault="00EF3343">
            <w:r>
              <w:t>Evidence preservation</w:t>
            </w:r>
          </w:p>
        </w:tc>
        <w:tc>
          <w:tcPr>
            <w:tcW w:w="852" w:type="dxa"/>
            <w:vAlign w:val="center"/>
          </w:tcPr>
          <w:p w14:paraId="44C60E81" w14:textId="77777777" w:rsidR="00CF2C65" w:rsidRDefault="00EF3343">
            <w:r>
              <w:t>A/R</w:t>
            </w:r>
          </w:p>
        </w:tc>
        <w:tc>
          <w:tcPr>
            <w:tcW w:w="1281" w:type="dxa"/>
            <w:vAlign w:val="center"/>
          </w:tcPr>
          <w:p w14:paraId="7D2744C6" w14:textId="77777777" w:rsidR="00CF2C65" w:rsidRDefault="00EF3343">
            <w:r>
              <w:t>C</w:t>
            </w:r>
          </w:p>
        </w:tc>
        <w:tc>
          <w:tcPr>
            <w:tcW w:w="935" w:type="dxa"/>
            <w:vAlign w:val="center"/>
          </w:tcPr>
          <w:p w14:paraId="66865EEE" w14:textId="77777777" w:rsidR="00CF2C65" w:rsidRDefault="00EF3343">
            <w:r>
              <w:t>R</w:t>
            </w:r>
          </w:p>
        </w:tc>
        <w:tc>
          <w:tcPr>
            <w:tcW w:w="1353" w:type="dxa"/>
            <w:vAlign w:val="center"/>
          </w:tcPr>
          <w:p w14:paraId="4BF4CC2B" w14:textId="77777777" w:rsidR="00CF2C65" w:rsidRDefault="00EF3343">
            <w:r>
              <w:t>I</w:t>
            </w:r>
          </w:p>
        </w:tc>
        <w:tc>
          <w:tcPr>
            <w:tcW w:w="1827" w:type="dxa"/>
            <w:vAlign w:val="center"/>
          </w:tcPr>
          <w:p w14:paraId="09496331" w14:textId="77777777" w:rsidR="00CF2C65" w:rsidRDefault="00EF3343">
            <w:r>
              <w:t>I</w:t>
            </w:r>
          </w:p>
        </w:tc>
        <w:tc>
          <w:tcPr>
            <w:tcW w:w="1807" w:type="dxa"/>
            <w:vAlign w:val="center"/>
          </w:tcPr>
          <w:p w14:paraId="5F6F12E9" w14:textId="77777777" w:rsidR="00CF2C65" w:rsidRDefault="00EF3343">
            <w:r>
              <w:t>C</w:t>
            </w:r>
          </w:p>
        </w:tc>
      </w:tr>
      <w:tr w:rsidR="00CF2C65" w14:paraId="7E024810" w14:textId="77777777" w:rsidTr="00CE7A7B">
        <w:trPr>
          <w:jc w:val="center"/>
        </w:trPr>
        <w:tc>
          <w:tcPr>
            <w:tcW w:w="1809" w:type="dxa"/>
            <w:vAlign w:val="center"/>
          </w:tcPr>
          <w:p w14:paraId="6FB49558" w14:textId="77777777" w:rsidR="00CF2C65" w:rsidRDefault="00EF3343">
            <w:r>
              <w:t>Victim first contact</w:t>
            </w:r>
          </w:p>
        </w:tc>
        <w:tc>
          <w:tcPr>
            <w:tcW w:w="852" w:type="dxa"/>
            <w:vAlign w:val="center"/>
          </w:tcPr>
          <w:p w14:paraId="7DD24BFF" w14:textId="77777777" w:rsidR="00CF2C65" w:rsidRDefault="00EF3343">
            <w:r>
              <w:t>C</w:t>
            </w:r>
          </w:p>
        </w:tc>
        <w:tc>
          <w:tcPr>
            <w:tcW w:w="1281" w:type="dxa"/>
            <w:vAlign w:val="center"/>
          </w:tcPr>
          <w:p w14:paraId="07BA7FBC" w14:textId="77777777" w:rsidR="00CF2C65" w:rsidRDefault="00EF3343">
            <w:r>
              <w:t>I</w:t>
            </w:r>
          </w:p>
        </w:tc>
        <w:tc>
          <w:tcPr>
            <w:tcW w:w="935" w:type="dxa"/>
            <w:vAlign w:val="center"/>
          </w:tcPr>
          <w:p w14:paraId="18C2F9C9" w14:textId="77777777" w:rsidR="00CF2C65" w:rsidRDefault="00EF3343">
            <w:r>
              <w:t>I</w:t>
            </w:r>
          </w:p>
        </w:tc>
        <w:tc>
          <w:tcPr>
            <w:tcW w:w="1353" w:type="dxa"/>
            <w:vAlign w:val="center"/>
          </w:tcPr>
          <w:p w14:paraId="0AF54720" w14:textId="77777777" w:rsidR="00CF2C65" w:rsidRDefault="00EF3343">
            <w:r>
              <w:t>A/R</w:t>
            </w:r>
          </w:p>
        </w:tc>
        <w:tc>
          <w:tcPr>
            <w:tcW w:w="1827" w:type="dxa"/>
            <w:vAlign w:val="center"/>
          </w:tcPr>
          <w:p w14:paraId="7EB64574" w14:textId="77777777" w:rsidR="00CF2C65" w:rsidRDefault="00EF3343">
            <w:r>
              <w:t>R</w:t>
            </w:r>
          </w:p>
        </w:tc>
        <w:tc>
          <w:tcPr>
            <w:tcW w:w="1807" w:type="dxa"/>
            <w:vAlign w:val="center"/>
          </w:tcPr>
          <w:p w14:paraId="31936123" w14:textId="77777777" w:rsidR="00CF2C65" w:rsidRDefault="00EF3343">
            <w:r>
              <w:t>I</w:t>
            </w:r>
          </w:p>
        </w:tc>
      </w:tr>
      <w:tr w:rsidR="00CF2C65" w14:paraId="5C7B0985" w14:textId="77777777" w:rsidTr="00CE7A7B">
        <w:trPr>
          <w:jc w:val="center"/>
        </w:trPr>
        <w:tc>
          <w:tcPr>
            <w:tcW w:w="1809" w:type="dxa"/>
            <w:vAlign w:val="center"/>
          </w:tcPr>
          <w:p w14:paraId="3893918A" w14:textId="77777777" w:rsidR="00CF2C65" w:rsidRDefault="00EF3343">
            <w:r>
              <w:lastRenderedPageBreak/>
              <w:t>Operational intervention</w:t>
            </w:r>
          </w:p>
        </w:tc>
        <w:tc>
          <w:tcPr>
            <w:tcW w:w="852" w:type="dxa"/>
            <w:vAlign w:val="center"/>
          </w:tcPr>
          <w:p w14:paraId="10431B33" w14:textId="77777777" w:rsidR="00CF2C65" w:rsidRDefault="00EF3343">
            <w:r>
              <w:t>A/R</w:t>
            </w:r>
          </w:p>
        </w:tc>
        <w:tc>
          <w:tcPr>
            <w:tcW w:w="1281" w:type="dxa"/>
            <w:vAlign w:val="center"/>
          </w:tcPr>
          <w:p w14:paraId="7977329D" w14:textId="77777777" w:rsidR="00CF2C65" w:rsidRDefault="00EF3343">
            <w:r>
              <w:t>C</w:t>
            </w:r>
          </w:p>
        </w:tc>
        <w:tc>
          <w:tcPr>
            <w:tcW w:w="935" w:type="dxa"/>
            <w:vAlign w:val="center"/>
          </w:tcPr>
          <w:p w14:paraId="6CDDAEFD" w14:textId="77777777" w:rsidR="00CF2C65" w:rsidRDefault="00EF3343">
            <w:r>
              <w:t>C</w:t>
            </w:r>
          </w:p>
        </w:tc>
        <w:tc>
          <w:tcPr>
            <w:tcW w:w="1353" w:type="dxa"/>
            <w:vAlign w:val="center"/>
          </w:tcPr>
          <w:p w14:paraId="0F8F06CA" w14:textId="77777777" w:rsidR="00CF2C65" w:rsidRDefault="00EF3343">
            <w:r>
              <w:t>C</w:t>
            </w:r>
          </w:p>
        </w:tc>
        <w:tc>
          <w:tcPr>
            <w:tcW w:w="1827" w:type="dxa"/>
            <w:vAlign w:val="center"/>
          </w:tcPr>
          <w:p w14:paraId="7D0435FE" w14:textId="77777777" w:rsidR="00CF2C65" w:rsidRDefault="00EF3343">
            <w:r>
              <w:t>C</w:t>
            </w:r>
          </w:p>
        </w:tc>
        <w:tc>
          <w:tcPr>
            <w:tcW w:w="1807" w:type="dxa"/>
            <w:vAlign w:val="center"/>
          </w:tcPr>
          <w:p w14:paraId="25983D79" w14:textId="77777777" w:rsidR="00CF2C65" w:rsidRDefault="00EF3343">
            <w:r>
              <w:t>I</w:t>
            </w:r>
          </w:p>
        </w:tc>
      </w:tr>
      <w:tr w:rsidR="00CF2C65" w14:paraId="1329D95E" w14:textId="77777777" w:rsidTr="00CE7A7B">
        <w:trPr>
          <w:jc w:val="center"/>
        </w:trPr>
        <w:tc>
          <w:tcPr>
            <w:tcW w:w="1809" w:type="dxa"/>
            <w:vAlign w:val="center"/>
          </w:tcPr>
          <w:p w14:paraId="772926DA" w14:textId="77777777" w:rsidR="00CF2C65" w:rsidRDefault="00EF3343">
            <w:r>
              <w:t>Legal requests to platforms/providers</w:t>
            </w:r>
          </w:p>
        </w:tc>
        <w:tc>
          <w:tcPr>
            <w:tcW w:w="852" w:type="dxa"/>
            <w:vAlign w:val="center"/>
          </w:tcPr>
          <w:p w14:paraId="00C47CD9" w14:textId="77777777" w:rsidR="00CF2C65" w:rsidRDefault="00EF3343">
            <w:r>
              <w:t>R</w:t>
            </w:r>
          </w:p>
        </w:tc>
        <w:tc>
          <w:tcPr>
            <w:tcW w:w="1281" w:type="dxa"/>
            <w:vAlign w:val="center"/>
          </w:tcPr>
          <w:p w14:paraId="0CF649DB" w14:textId="77777777" w:rsidR="00CF2C65" w:rsidRDefault="00EF3343">
            <w:r>
              <w:t>A</w:t>
            </w:r>
          </w:p>
        </w:tc>
        <w:tc>
          <w:tcPr>
            <w:tcW w:w="935" w:type="dxa"/>
            <w:vAlign w:val="center"/>
          </w:tcPr>
          <w:p w14:paraId="5F7C12CD" w14:textId="77777777" w:rsidR="00CF2C65" w:rsidRDefault="00EF3343">
            <w:r>
              <w:t>C</w:t>
            </w:r>
          </w:p>
        </w:tc>
        <w:tc>
          <w:tcPr>
            <w:tcW w:w="1353" w:type="dxa"/>
            <w:vAlign w:val="center"/>
          </w:tcPr>
          <w:p w14:paraId="35EA2950" w14:textId="77777777" w:rsidR="00CF2C65" w:rsidRDefault="00EF3343">
            <w:r>
              <w:t>I</w:t>
            </w:r>
          </w:p>
        </w:tc>
        <w:tc>
          <w:tcPr>
            <w:tcW w:w="1827" w:type="dxa"/>
            <w:vAlign w:val="center"/>
          </w:tcPr>
          <w:p w14:paraId="733FB455" w14:textId="77777777" w:rsidR="00CF2C65" w:rsidRDefault="00EF3343">
            <w:r>
              <w:t>I</w:t>
            </w:r>
          </w:p>
        </w:tc>
        <w:tc>
          <w:tcPr>
            <w:tcW w:w="1807" w:type="dxa"/>
            <w:vAlign w:val="center"/>
          </w:tcPr>
          <w:p w14:paraId="6DF60BA6" w14:textId="77777777" w:rsidR="00CF2C65" w:rsidRDefault="00EF3343">
            <w:r>
              <w:t>C</w:t>
            </w:r>
          </w:p>
        </w:tc>
      </w:tr>
      <w:tr w:rsidR="00CF2C65" w14:paraId="3F7616AF" w14:textId="77777777" w:rsidTr="00CE7A7B">
        <w:trPr>
          <w:jc w:val="center"/>
        </w:trPr>
        <w:tc>
          <w:tcPr>
            <w:tcW w:w="1809" w:type="dxa"/>
            <w:vAlign w:val="center"/>
          </w:tcPr>
          <w:p w14:paraId="47849A94" w14:textId="77777777" w:rsidR="00CF2C65" w:rsidRDefault="00EF3343">
            <w:r>
              <w:t>Case review</w:t>
            </w:r>
          </w:p>
        </w:tc>
        <w:tc>
          <w:tcPr>
            <w:tcW w:w="852" w:type="dxa"/>
            <w:vAlign w:val="center"/>
          </w:tcPr>
          <w:p w14:paraId="452AF8C8" w14:textId="77777777" w:rsidR="00CF2C65" w:rsidRDefault="00EF3343">
            <w:r>
              <w:t>A</w:t>
            </w:r>
          </w:p>
        </w:tc>
        <w:tc>
          <w:tcPr>
            <w:tcW w:w="1281" w:type="dxa"/>
            <w:vAlign w:val="center"/>
          </w:tcPr>
          <w:p w14:paraId="1C96E268" w14:textId="77777777" w:rsidR="00CF2C65" w:rsidRDefault="00EF3343">
            <w:r>
              <w:t>A</w:t>
            </w:r>
          </w:p>
        </w:tc>
        <w:tc>
          <w:tcPr>
            <w:tcW w:w="935" w:type="dxa"/>
            <w:vAlign w:val="center"/>
          </w:tcPr>
          <w:p w14:paraId="637869C6" w14:textId="77777777" w:rsidR="00CF2C65" w:rsidRDefault="00EF3343">
            <w:r>
              <w:t>R</w:t>
            </w:r>
          </w:p>
        </w:tc>
        <w:tc>
          <w:tcPr>
            <w:tcW w:w="1353" w:type="dxa"/>
            <w:vAlign w:val="center"/>
          </w:tcPr>
          <w:p w14:paraId="1D7EC166" w14:textId="77777777" w:rsidR="00CF2C65" w:rsidRDefault="00EF3343">
            <w:r>
              <w:t>R</w:t>
            </w:r>
          </w:p>
        </w:tc>
        <w:tc>
          <w:tcPr>
            <w:tcW w:w="1827" w:type="dxa"/>
            <w:vAlign w:val="center"/>
          </w:tcPr>
          <w:p w14:paraId="22CE322F" w14:textId="77777777" w:rsidR="00CF2C65" w:rsidRDefault="00EF3343">
            <w:r>
              <w:t>C</w:t>
            </w:r>
          </w:p>
        </w:tc>
        <w:tc>
          <w:tcPr>
            <w:tcW w:w="1807" w:type="dxa"/>
            <w:vAlign w:val="center"/>
          </w:tcPr>
          <w:p w14:paraId="5B67FD87" w14:textId="77777777" w:rsidR="00CF2C65" w:rsidRDefault="00EF3343">
            <w:r>
              <w:t>I</w:t>
            </w:r>
          </w:p>
        </w:tc>
      </w:tr>
    </w:tbl>
    <w:p w14:paraId="30510DF8" w14:textId="77777777" w:rsidR="00CF2C65" w:rsidRDefault="00CF2C65"/>
    <w:p w14:paraId="3091A721" w14:textId="77777777" w:rsidR="00CF2C65" w:rsidRDefault="00EF3343">
      <w:pPr>
        <w:pStyle w:val="Titolo1"/>
      </w:pPr>
      <w:bookmarkStart w:id="27" w:name="_Toc229487769"/>
      <w:r>
        <w:t>Annex E. Campaign Planning Canvas</w:t>
      </w:r>
      <w:bookmarkEnd w:id="27"/>
    </w:p>
    <w:p w14:paraId="5EC57421" w14:textId="77777777" w:rsidR="00CF2C65" w:rsidRDefault="00EF3343">
      <w:r>
        <w:t>Use the canvas below to ensure that counter-THB campaigns are evidence-based and proportionate.</w:t>
      </w:r>
    </w:p>
    <w:p w14:paraId="5804F958" w14:textId="77777777" w:rsidR="00CF2C65" w:rsidRDefault="00EF3343">
      <w:pPr>
        <w:pStyle w:val="Puntoelenco"/>
      </w:pPr>
      <w:r>
        <w:t>Problem definition</w:t>
      </w:r>
    </w:p>
    <w:p w14:paraId="51DE7943" w14:textId="77777777" w:rsidR="00CF2C65" w:rsidRDefault="00EF3343">
      <w:pPr>
        <w:pStyle w:val="Puntoelenco"/>
      </w:pPr>
      <w:r>
        <w:t>Target audience and vulnerability profile</w:t>
      </w:r>
    </w:p>
    <w:p w14:paraId="5EDEE671" w14:textId="77777777" w:rsidR="00CF2C65" w:rsidRDefault="00EF3343">
      <w:pPr>
        <w:pStyle w:val="Puntoelenco"/>
      </w:pPr>
      <w:r>
        <w:t>Desired behaviour change</w:t>
      </w:r>
    </w:p>
    <w:p w14:paraId="283B547E" w14:textId="77777777" w:rsidR="00CF2C65" w:rsidRDefault="00EF3343">
      <w:pPr>
        <w:pStyle w:val="Puntoelenco"/>
      </w:pPr>
      <w:r>
        <w:t>Key message and call to action</w:t>
      </w:r>
    </w:p>
    <w:p w14:paraId="07253EA4" w14:textId="77777777" w:rsidR="00CF2C65" w:rsidRDefault="00EF3343">
      <w:pPr>
        <w:pStyle w:val="Puntoelenco"/>
      </w:pPr>
      <w:r>
        <w:t>Languages and cultural adaptation required</w:t>
      </w:r>
    </w:p>
    <w:p w14:paraId="3AE0DD64" w14:textId="77777777" w:rsidR="00CF2C65" w:rsidRDefault="00EF3343">
      <w:pPr>
        <w:pStyle w:val="Puntoelenco"/>
      </w:pPr>
      <w:r>
        <w:t>Channels/platforms to be used</w:t>
      </w:r>
    </w:p>
    <w:p w14:paraId="5F9A0790" w14:textId="77777777" w:rsidR="00CF2C65" w:rsidRDefault="00EF3343">
      <w:pPr>
        <w:pStyle w:val="Puntoelenco"/>
      </w:pPr>
      <w:r>
        <w:t>Referral or helpline pathway linked to campaign</w:t>
      </w:r>
    </w:p>
    <w:p w14:paraId="33210F08" w14:textId="77777777" w:rsidR="00CF2C65" w:rsidRDefault="00EF3343">
      <w:pPr>
        <w:pStyle w:val="Puntoelenco"/>
      </w:pPr>
      <w:r>
        <w:t>Risks: privacy, stigma, misinterpretation, operational sensitivity</w:t>
      </w:r>
    </w:p>
    <w:p w14:paraId="164A7914" w14:textId="77777777" w:rsidR="00CF2C65" w:rsidRDefault="00EF3343">
      <w:pPr>
        <w:pStyle w:val="Puntoelenco"/>
      </w:pPr>
      <w:r>
        <w:t>Success measures and monitoring plan</w:t>
      </w:r>
    </w:p>
    <w:p w14:paraId="4213BF92" w14:textId="77777777" w:rsidR="00CF2C65" w:rsidRDefault="00EF3343">
      <w:pPr>
        <w:pStyle w:val="Puntoelenco"/>
      </w:pPr>
      <w:r>
        <w:t>Approval and review arrangements</w:t>
      </w:r>
    </w:p>
    <w:p w14:paraId="0AA90C93" w14:textId="77777777" w:rsidR="00CF2C65" w:rsidRDefault="00EF3343">
      <w:pPr>
        <w:pStyle w:val="Titolo1"/>
      </w:pPr>
      <w:bookmarkStart w:id="28" w:name="_Toc229487770"/>
      <w:r>
        <w:t>Annex F. Training Curriculum Outline</w:t>
      </w:r>
      <w:bookmarkEnd w:id="28"/>
    </w:p>
    <w:p w14:paraId="1254104A" w14:textId="77777777" w:rsidR="00CF2C65" w:rsidRDefault="00EF3343">
      <w:r>
        <w:t>A basic training curriculum can be modularised as follows. Modules can be delivered separately or bundled into role-based pathways.</w:t>
      </w:r>
    </w:p>
    <w:tbl>
      <w:tblPr>
        <w:tblStyle w:val="Grigliatabella"/>
        <w:tblW w:w="0" w:type="auto"/>
        <w:jc w:val="center"/>
        <w:tblLook w:val="04A0" w:firstRow="1" w:lastRow="0" w:firstColumn="1" w:lastColumn="0" w:noHBand="0" w:noVBand="1"/>
      </w:tblPr>
      <w:tblGrid>
        <w:gridCol w:w="2410"/>
        <w:gridCol w:w="2408"/>
        <w:gridCol w:w="2410"/>
        <w:gridCol w:w="2410"/>
      </w:tblGrid>
      <w:tr w:rsidR="00CF2C65" w14:paraId="60C95F89" w14:textId="77777777">
        <w:trPr>
          <w:jc w:val="center"/>
        </w:trPr>
        <w:tc>
          <w:tcPr>
            <w:tcW w:w="2412" w:type="dxa"/>
            <w:shd w:val="clear" w:color="auto" w:fill="D9EAF7"/>
            <w:vAlign w:val="center"/>
          </w:tcPr>
          <w:p w14:paraId="3E0192CB" w14:textId="77777777" w:rsidR="00CF2C65" w:rsidRDefault="00EF3343">
            <w:r>
              <w:rPr>
                <w:b/>
              </w:rPr>
              <w:t>Module</w:t>
            </w:r>
          </w:p>
        </w:tc>
        <w:tc>
          <w:tcPr>
            <w:tcW w:w="2412" w:type="dxa"/>
            <w:shd w:val="clear" w:color="auto" w:fill="D9EAF7"/>
            <w:vAlign w:val="center"/>
          </w:tcPr>
          <w:p w14:paraId="5D693A27" w14:textId="77777777" w:rsidR="00CF2C65" w:rsidRDefault="00EF3343">
            <w:r>
              <w:rPr>
                <w:b/>
              </w:rPr>
              <w:t>Duration</w:t>
            </w:r>
          </w:p>
        </w:tc>
        <w:tc>
          <w:tcPr>
            <w:tcW w:w="2412" w:type="dxa"/>
            <w:shd w:val="clear" w:color="auto" w:fill="D9EAF7"/>
            <w:vAlign w:val="center"/>
          </w:tcPr>
          <w:p w14:paraId="28E8E427" w14:textId="77777777" w:rsidR="00CF2C65" w:rsidRDefault="00EF3343">
            <w:r>
              <w:rPr>
                <w:b/>
              </w:rPr>
              <w:t>Audience</w:t>
            </w:r>
          </w:p>
        </w:tc>
        <w:tc>
          <w:tcPr>
            <w:tcW w:w="2412" w:type="dxa"/>
            <w:shd w:val="clear" w:color="auto" w:fill="D9EAF7"/>
            <w:vAlign w:val="center"/>
          </w:tcPr>
          <w:p w14:paraId="09857AEC" w14:textId="77777777" w:rsidR="00CF2C65" w:rsidRDefault="00EF3343">
            <w:r>
              <w:rPr>
                <w:b/>
              </w:rPr>
              <w:t>Learning outcome</w:t>
            </w:r>
          </w:p>
        </w:tc>
      </w:tr>
      <w:tr w:rsidR="00CF2C65" w14:paraId="25CC8774" w14:textId="77777777">
        <w:trPr>
          <w:jc w:val="center"/>
        </w:trPr>
        <w:tc>
          <w:tcPr>
            <w:tcW w:w="2412" w:type="dxa"/>
            <w:vAlign w:val="center"/>
          </w:tcPr>
          <w:p w14:paraId="286306A1" w14:textId="77777777" w:rsidR="00CF2C65" w:rsidRDefault="00EF3343">
            <w:r>
              <w:t>THB basics and victim-centred principles</w:t>
            </w:r>
          </w:p>
        </w:tc>
        <w:tc>
          <w:tcPr>
            <w:tcW w:w="2412" w:type="dxa"/>
            <w:vAlign w:val="center"/>
          </w:tcPr>
          <w:p w14:paraId="7A020BA0" w14:textId="3373AF0D" w:rsidR="00CF2C65" w:rsidRDefault="00CE7A7B">
            <w:r>
              <w:t>1</w:t>
            </w:r>
            <w:r w:rsidR="00EF3343">
              <w:t xml:space="preserve"> hour</w:t>
            </w:r>
          </w:p>
        </w:tc>
        <w:tc>
          <w:tcPr>
            <w:tcW w:w="2412" w:type="dxa"/>
            <w:vAlign w:val="center"/>
          </w:tcPr>
          <w:p w14:paraId="3B8501B8" w14:textId="77777777" w:rsidR="00CF2C65" w:rsidRDefault="00EF3343">
            <w:r>
              <w:t>All partners</w:t>
            </w:r>
          </w:p>
        </w:tc>
        <w:tc>
          <w:tcPr>
            <w:tcW w:w="2412" w:type="dxa"/>
            <w:vAlign w:val="center"/>
          </w:tcPr>
          <w:p w14:paraId="789FCEC6" w14:textId="77777777" w:rsidR="00CF2C65" w:rsidRDefault="00EF3343">
            <w:r>
              <w:t>Use a shared conceptual and safeguarding baseline.</w:t>
            </w:r>
          </w:p>
        </w:tc>
      </w:tr>
      <w:tr w:rsidR="00CF2C65" w14:paraId="41FBA394" w14:textId="77777777">
        <w:trPr>
          <w:jc w:val="center"/>
        </w:trPr>
        <w:tc>
          <w:tcPr>
            <w:tcW w:w="2412" w:type="dxa"/>
            <w:vAlign w:val="center"/>
          </w:tcPr>
          <w:p w14:paraId="32753AFE" w14:textId="77777777" w:rsidR="00CF2C65" w:rsidRDefault="00EF3343">
            <w:r>
              <w:lastRenderedPageBreak/>
              <w:t>Online indicators and triage</w:t>
            </w:r>
          </w:p>
        </w:tc>
        <w:tc>
          <w:tcPr>
            <w:tcW w:w="2412" w:type="dxa"/>
            <w:vAlign w:val="center"/>
          </w:tcPr>
          <w:p w14:paraId="5664F18C" w14:textId="4367FD7D" w:rsidR="00CF2C65" w:rsidRDefault="00CE7A7B">
            <w:r>
              <w:t>1</w:t>
            </w:r>
            <w:r w:rsidR="00EF3343">
              <w:t xml:space="preserve"> hour</w:t>
            </w:r>
          </w:p>
        </w:tc>
        <w:tc>
          <w:tcPr>
            <w:tcW w:w="2412" w:type="dxa"/>
            <w:vAlign w:val="center"/>
          </w:tcPr>
          <w:p w14:paraId="79936870" w14:textId="77777777" w:rsidR="00CF2C65" w:rsidRDefault="00EF3343">
            <w:r>
              <w:t>Frontline, analysts, investigators</w:t>
            </w:r>
          </w:p>
        </w:tc>
        <w:tc>
          <w:tcPr>
            <w:tcW w:w="2412" w:type="dxa"/>
            <w:vAlign w:val="center"/>
          </w:tcPr>
          <w:p w14:paraId="271A9610" w14:textId="77777777" w:rsidR="00CF2C65" w:rsidRDefault="00EF3343">
            <w:r>
              <w:t>Identify and record digital indicators consistently.</w:t>
            </w:r>
          </w:p>
        </w:tc>
      </w:tr>
      <w:tr w:rsidR="00CF2C65" w14:paraId="2476A310" w14:textId="77777777">
        <w:trPr>
          <w:jc w:val="center"/>
        </w:trPr>
        <w:tc>
          <w:tcPr>
            <w:tcW w:w="2412" w:type="dxa"/>
            <w:vAlign w:val="center"/>
          </w:tcPr>
          <w:p w14:paraId="6DBF2E58" w14:textId="77777777" w:rsidR="00CF2C65" w:rsidRDefault="00EF3343">
            <w:r>
              <w:t>OSINT-HUMINT-SIGINT integration</w:t>
            </w:r>
          </w:p>
        </w:tc>
        <w:tc>
          <w:tcPr>
            <w:tcW w:w="2412" w:type="dxa"/>
            <w:vAlign w:val="center"/>
          </w:tcPr>
          <w:p w14:paraId="5A61CE0B" w14:textId="1CB991A0" w:rsidR="00CF2C65" w:rsidRDefault="00EF3343">
            <w:r>
              <w:t>6 hours</w:t>
            </w:r>
            <w:r w:rsidR="00CE7A7B">
              <w:t xml:space="preserve"> (blended)</w:t>
            </w:r>
          </w:p>
        </w:tc>
        <w:tc>
          <w:tcPr>
            <w:tcW w:w="2412" w:type="dxa"/>
            <w:vAlign w:val="center"/>
          </w:tcPr>
          <w:p w14:paraId="752A615F" w14:textId="77777777" w:rsidR="00CF2C65" w:rsidRDefault="00EF3343">
            <w:r>
              <w:t>Investigators, prosecutors, analysts</w:t>
            </w:r>
          </w:p>
        </w:tc>
        <w:tc>
          <w:tcPr>
            <w:tcW w:w="2412" w:type="dxa"/>
            <w:vAlign w:val="center"/>
          </w:tcPr>
          <w:p w14:paraId="75E6707F" w14:textId="77777777" w:rsidR="00CF2C65" w:rsidRDefault="00EF3343">
            <w:r>
              <w:t>Translate leads into coordinated case development.</w:t>
            </w:r>
          </w:p>
        </w:tc>
      </w:tr>
      <w:tr w:rsidR="00CF2C65" w14:paraId="42820A46" w14:textId="77777777">
        <w:trPr>
          <w:jc w:val="center"/>
        </w:trPr>
        <w:tc>
          <w:tcPr>
            <w:tcW w:w="2412" w:type="dxa"/>
            <w:vAlign w:val="center"/>
          </w:tcPr>
          <w:p w14:paraId="765A5814" w14:textId="77777777" w:rsidR="00CF2C65" w:rsidRDefault="00EF3343">
            <w:r>
              <w:t>Evidence preservation and documentation</w:t>
            </w:r>
          </w:p>
        </w:tc>
        <w:tc>
          <w:tcPr>
            <w:tcW w:w="2412" w:type="dxa"/>
            <w:vAlign w:val="center"/>
          </w:tcPr>
          <w:p w14:paraId="02F1EB1C" w14:textId="6D90A917" w:rsidR="00CF2C65" w:rsidRDefault="00EF3343">
            <w:r>
              <w:t>4 hours</w:t>
            </w:r>
            <w:r w:rsidR="00CE7A7B">
              <w:t xml:space="preserve"> (Blended)</w:t>
            </w:r>
          </w:p>
        </w:tc>
        <w:tc>
          <w:tcPr>
            <w:tcW w:w="2412" w:type="dxa"/>
            <w:vAlign w:val="center"/>
          </w:tcPr>
          <w:p w14:paraId="15D53DC2" w14:textId="77777777" w:rsidR="00CF2C65" w:rsidRDefault="00EF3343">
            <w:r>
              <w:t>Investigators, analysts</w:t>
            </w:r>
          </w:p>
        </w:tc>
        <w:tc>
          <w:tcPr>
            <w:tcW w:w="2412" w:type="dxa"/>
            <w:vAlign w:val="center"/>
          </w:tcPr>
          <w:p w14:paraId="30AEF1E1" w14:textId="77777777" w:rsidR="00CF2C65" w:rsidRDefault="00EF3343">
            <w:r>
              <w:t>Capture, store, and describe digital material reliably.</w:t>
            </w:r>
          </w:p>
        </w:tc>
      </w:tr>
      <w:tr w:rsidR="00CF2C65" w14:paraId="369E2060" w14:textId="77777777">
        <w:trPr>
          <w:jc w:val="center"/>
        </w:trPr>
        <w:tc>
          <w:tcPr>
            <w:tcW w:w="2412" w:type="dxa"/>
            <w:vAlign w:val="center"/>
          </w:tcPr>
          <w:p w14:paraId="11D0E87D" w14:textId="77777777" w:rsidR="00CF2C65" w:rsidRDefault="00EF3343">
            <w:r>
              <w:t>Referral and access to justice</w:t>
            </w:r>
          </w:p>
        </w:tc>
        <w:tc>
          <w:tcPr>
            <w:tcW w:w="2412" w:type="dxa"/>
            <w:vAlign w:val="center"/>
          </w:tcPr>
          <w:p w14:paraId="1673BAB6" w14:textId="4EE0E6EA" w:rsidR="00CF2C65" w:rsidRDefault="00EF3343">
            <w:r>
              <w:t>4 hours</w:t>
            </w:r>
            <w:r w:rsidR="00CE7A7B">
              <w:t xml:space="preserve"> (Blended)</w:t>
            </w:r>
          </w:p>
        </w:tc>
        <w:tc>
          <w:tcPr>
            <w:tcW w:w="2412" w:type="dxa"/>
            <w:vAlign w:val="center"/>
          </w:tcPr>
          <w:p w14:paraId="70CE8D8A" w14:textId="77777777" w:rsidR="00CF2C65" w:rsidRDefault="00EF3343">
            <w:r>
              <w:t>Victim support, LEA, prosecutors</w:t>
            </w:r>
          </w:p>
        </w:tc>
        <w:tc>
          <w:tcPr>
            <w:tcW w:w="2412" w:type="dxa"/>
            <w:vAlign w:val="center"/>
          </w:tcPr>
          <w:p w14:paraId="3F18D487" w14:textId="77777777" w:rsidR="00CF2C65" w:rsidRDefault="00EF3343">
            <w:r>
              <w:t>Coordinate protection and procedural support pathways.</w:t>
            </w:r>
          </w:p>
        </w:tc>
      </w:tr>
      <w:tr w:rsidR="00CF2C65" w14:paraId="09D662A4" w14:textId="77777777">
        <w:trPr>
          <w:jc w:val="center"/>
        </w:trPr>
        <w:tc>
          <w:tcPr>
            <w:tcW w:w="2412" w:type="dxa"/>
            <w:vAlign w:val="center"/>
          </w:tcPr>
          <w:p w14:paraId="6B4CDAD7" w14:textId="77777777" w:rsidR="00CF2C65" w:rsidRDefault="00EF3343">
            <w:r>
              <w:t>Financial investigation basics</w:t>
            </w:r>
          </w:p>
        </w:tc>
        <w:tc>
          <w:tcPr>
            <w:tcW w:w="2412" w:type="dxa"/>
            <w:vAlign w:val="center"/>
          </w:tcPr>
          <w:p w14:paraId="7E744D62" w14:textId="77777777" w:rsidR="00CF2C65" w:rsidRDefault="00EF3343">
            <w:r>
              <w:t>4 hours</w:t>
            </w:r>
          </w:p>
        </w:tc>
        <w:tc>
          <w:tcPr>
            <w:tcW w:w="2412" w:type="dxa"/>
            <w:vAlign w:val="center"/>
          </w:tcPr>
          <w:p w14:paraId="4EC99C5D" w14:textId="77777777" w:rsidR="00CF2C65" w:rsidRDefault="00EF3343">
            <w:r>
              <w:t>Investigators, analysts, prosecutors</w:t>
            </w:r>
          </w:p>
        </w:tc>
        <w:tc>
          <w:tcPr>
            <w:tcW w:w="2412" w:type="dxa"/>
            <w:vAlign w:val="center"/>
          </w:tcPr>
          <w:p w14:paraId="27808E0D" w14:textId="77777777" w:rsidR="00CF2C65" w:rsidRDefault="00EF3343">
            <w:r>
              <w:t>Map profit structures and disruption opportunities.</w:t>
            </w:r>
          </w:p>
        </w:tc>
      </w:tr>
      <w:tr w:rsidR="00CF2C65" w14:paraId="4136735F" w14:textId="77777777">
        <w:trPr>
          <w:jc w:val="center"/>
        </w:trPr>
        <w:tc>
          <w:tcPr>
            <w:tcW w:w="2412" w:type="dxa"/>
            <w:vAlign w:val="center"/>
          </w:tcPr>
          <w:p w14:paraId="0092DFDC" w14:textId="77777777" w:rsidR="00CF2C65" w:rsidRDefault="00EF3343">
            <w:r>
              <w:t>Strategic communication and campaigns</w:t>
            </w:r>
          </w:p>
        </w:tc>
        <w:tc>
          <w:tcPr>
            <w:tcW w:w="2412" w:type="dxa"/>
            <w:vAlign w:val="center"/>
          </w:tcPr>
          <w:p w14:paraId="1DA2A9D4" w14:textId="3BFA9207" w:rsidR="00CF2C65" w:rsidRDefault="00EF3343">
            <w:r>
              <w:t>3 hours</w:t>
            </w:r>
            <w:r w:rsidR="00CE7A7B">
              <w:t xml:space="preserve"> (Blended)</w:t>
            </w:r>
          </w:p>
        </w:tc>
        <w:tc>
          <w:tcPr>
            <w:tcW w:w="2412" w:type="dxa"/>
            <w:vAlign w:val="center"/>
          </w:tcPr>
          <w:p w14:paraId="0459F89F" w14:textId="77777777" w:rsidR="00CF2C65" w:rsidRDefault="00EF3343">
            <w:r>
              <w:t>Communication teams, NGOs, analysts</w:t>
            </w:r>
          </w:p>
        </w:tc>
        <w:tc>
          <w:tcPr>
            <w:tcW w:w="2412" w:type="dxa"/>
            <w:vAlign w:val="center"/>
          </w:tcPr>
          <w:p w14:paraId="0AA39922" w14:textId="77777777" w:rsidR="00CF2C65" w:rsidRDefault="00EF3343">
            <w:r>
              <w:t>Design ethical targeted campaigns.</w:t>
            </w:r>
          </w:p>
        </w:tc>
      </w:tr>
    </w:tbl>
    <w:p w14:paraId="60F4E6AD" w14:textId="77777777" w:rsidR="00CF2C65" w:rsidRDefault="00CF2C65"/>
    <w:p w14:paraId="2E42773B" w14:textId="77777777" w:rsidR="00CF2C65" w:rsidRDefault="00EF3343">
      <w:pPr>
        <w:pStyle w:val="Titolo1"/>
      </w:pPr>
      <w:bookmarkStart w:id="29" w:name="_Toc229487771"/>
      <w:r>
        <w:t>Annex G. Suggested Maturity Assessment</w:t>
      </w:r>
      <w:bookmarkEnd w:id="29"/>
    </w:p>
    <w:p w14:paraId="46E4D9FD" w14:textId="77777777" w:rsidR="00CF2C65" w:rsidRDefault="00EF3343">
      <w:r>
        <w:t>Before piloting, teams may score themselves from 1 to 5 in each domain below. The purpose is not ranking but identifying gaps.</w:t>
      </w:r>
    </w:p>
    <w:p w14:paraId="548BAAA8" w14:textId="77777777" w:rsidR="00CF2C65" w:rsidRDefault="00EF3343">
      <w:pPr>
        <w:pStyle w:val="Puntoelenco"/>
      </w:pPr>
      <w:r>
        <w:t>Governance and partner commitment</w:t>
      </w:r>
    </w:p>
    <w:p w14:paraId="0D1ED084" w14:textId="77777777" w:rsidR="00CF2C65" w:rsidRDefault="00EF3343">
      <w:pPr>
        <w:pStyle w:val="Puntoelenco"/>
      </w:pPr>
      <w:r>
        <w:t>Case workflow clarity</w:t>
      </w:r>
    </w:p>
    <w:p w14:paraId="7232177D" w14:textId="77777777" w:rsidR="00CF2C65" w:rsidRDefault="00EF3343">
      <w:pPr>
        <w:pStyle w:val="Puntoelenco"/>
      </w:pPr>
      <w:r>
        <w:t>Victim referral capacity</w:t>
      </w:r>
    </w:p>
    <w:p w14:paraId="06BC17D1" w14:textId="77777777" w:rsidR="00CF2C65" w:rsidRDefault="00EF3343">
      <w:pPr>
        <w:pStyle w:val="Puntoelenco"/>
      </w:pPr>
      <w:r>
        <w:t>Digital evidence capability</w:t>
      </w:r>
    </w:p>
    <w:p w14:paraId="78EA54B6" w14:textId="77777777" w:rsidR="00CF2C65" w:rsidRDefault="00EF3343">
      <w:pPr>
        <w:pStyle w:val="Puntoelenco"/>
      </w:pPr>
      <w:r>
        <w:t>Financial investigation integration</w:t>
      </w:r>
    </w:p>
    <w:p w14:paraId="50C0B544" w14:textId="77777777" w:rsidR="00CF2C65" w:rsidRDefault="00EF3343">
      <w:pPr>
        <w:pStyle w:val="Puntoelenco"/>
      </w:pPr>
      <w:r>
        <w:t>Information-sharing governance</w:t>
      </w:r>
    </w:p>
    <w:p w14:paraId="0BF6C1F4" w14:textId="77777777" w:rsidR="00CF2C65" w:rsidRDefault="00EF3343">
      <w:pPr>
        <w:pStyle w:val="Puntoelenco"/>
      </w:pPr>
      <w:r>
        <w:t>Training coverage and refreshers</w:t>
      </w:r>
    </w:p>
    <w:p w14:paraId="147B75BA" w14:textId="77777777" w:rsidR="00CF2C65" w:rsidRDefault="00EF3343">
      <w:pPr>
        <w:pStyle w:val="Puntoelenco"/>
      </w:pPr>
      <w:r>
        <w:t>Campaign planning capability</w:t>
      </w:r>
    </w:p>
    <w:p w14:paraId="5F600A01" w14:textId="77777777" w:rsidR="00CF2C65" w:rsidRDefault="00EF3343">
      <w:pPr>
        <w:pStyle w:val="Puntoelenco"/>
      </w:pPr>
      <w:r>
        <w:t>Data protection and record-keeping</w:t>
      </w:r>
    </w:p>
    <w:p w14:paraId="026CB35D" w14:textId="77777777" w:rsidR="00CF2C65" w:rsidRDefault="00EF3343">
      <w:pPr>
        <w:pStyle w:val="Puntoelenco"/>
      </w:pPr>
      <w:r>
        <w:lastRenderedPageBreak/>
        <w:t>Review and learning culture</w:t>
      </w:r>
    </w:p>
    <w:p w14:paraId="1F29B8F3" w14:textId="77777777" w:rsidR="00CF2C65" w:rsidRDefault="00EF3343">
      <w:pPr>
        <w:pStyle w:val="Titolo1"/>
      </w:pPr>
      <w:bookmarkStart w:id="30" w:name="_Toc229487772"/>
      <w:r>
        <w:t>Annex H. Standard Operating Procedure for Digital Lead Preservation</w:t>
      </w:r>
      <w:bookmarkEnd w:id="30"/>
    </w:p>
    <w:p w14:paraId="0165A1B4" w14:textId="77777777" w:rsidR="00CE7A7B" w:rsidRDefault="00EF3343">
      <w:r>
        <w:t xml:space="preserve">The following standard operating procedure is intended for the first preservation of a digital lead before a full investigative or judicial strategy is in place. </w:t>
      </w:r>
    </w:p>
    <w:p w14:paraId="19A8B3C4" w14:textId="77777777" w:rsidR="00CE7A7B" w:rsidRDefault="00EF3343">
      <w:r>
        <w:t xml:space="preserve">Step 1: define the collection purpose in one sentence, for example “capture and preserve a suspected online recruitment advertisement linked to possible labour exploitation”. </w:t>
      </w:r>
    </w:p>
    <w:p w14:paraId="7A1C82C2" w14:textId="77777777" w:rsidR="00CE7A7B" w:rsidRDefault="00EF3343">
      <w:r>
        <w:t xml:space="preserve">Step 2: identify the collector, their role, the device used, and the environment in which collection is taking place. </w:t>
      </w:r>
    </w:p>
    <w:p w14:paraId="1EA904AB" w14:textId="78053057" w:rsidR="00CF2C65" w:rsidRDefault="00EF3343">
      <w:r>
        <w:t>Step 3: capture the focal content with visible date/time where possible and then capture surrounding context including profile name, account handle, channel or group name, comments, linked media, and navigation path.</w:t>
      </w:r>
    </w:p>
    <w:p w14:paraId="2271C138" w14:textId="77777777" w:rsidR="00CE7A7B" w:rsidRDefault="00EF3343">
      <w:r>
        <w:t xml:space="preserve">Step 4: where the tool allows, collect structured or source-level export in addition to screenshots. </w:t>
      </w:r>
    </w:p>
    <w:p w14:paraId="1B43747C" w14:textId="77777777" w:rsidR="00CE7A7B" w:rsidRDefault="00EF3343">
      <w:r>
        <w:t xml:space="preserve">Step 5: name the files consistently using </w:t>
      </w:r>
      <w:proofErr w:type="gramStart"/>
      <w:r>
        <w:t>a reference</w:t>
      </w:r>
      <w:proofErr w:type="gramEnd"/>
      <w:r>
        <w:t xml:space="preserve">, date, source, and sequence number. </w:t>
      </w:r>
    </w:p>
    <w:p w14:paraId="5F881726" w14:textId="77777777" w:rsidR="00CE7A7B" w:rsidRDefault="00EF3343">
      <w:r>
        <w:t xml:space="preserve">Step 6: create a short collection note that explains why the material matters, what might not be obvious from the image, and any uncertainty present at the time of collection. </w:t>
      </w:r>
    </w:p>
    <w:p w14:paraId="54F30E2A" w14:textId="77777777" w:rsidR="00CE7A7B" w:rsidRDefault="00EF3343">
      <w:r>
        <w:t xml:space="preserve">Step 7: upload the original capture to a secure storage area and separate analytical copies from originals. </w:t>
      </w:r>
    </w:p>
    <w:p w14:paraId="5524DC0D" w14:textId="02ECE3FD" w:rsidR="00CF2C65" w:rsidRDefault="00EF3343">
      <w:r>
        <w:t>Step 8: log any subsequent annotation, translation, cropping, redaction, or conversion performed for working purposes.</w:t>
      </w:r>
    </w:p>
    <w:p w14:paraId="021AC6F4" w14:textId="77777777" w:rsidR="00CF2C65" w:rsidRDefault="00EF3343">
      <w:r>
        <w:t>Supervisors should periodically test this SOP with sample content. The purpose is not only quality assurance but interoperability: when material moves from analyst to investigator to prosecutor, the receiving person should immediately understand where it came from, what they are looking at, and whether the material has been altered. A simple but disciplined preservation culture often makes the difference between an interesting lead and a usable case file.</w:t>
      </w:r>
    </w:p>
    <w:p w14:paraId="584F2527" w14:textId="77777777" w:rsidR="00CF2C65" w:rsidRDefault="00EF3343">
      <w:pPr>
        <w:pStyle w:val="Titolo1"/>
      </w:pPr>
      <w:bookmarkStart w:id="31" w:name="_Toc229487773"/>
      <w:r>
        <w:t>Annex I. Role-Specific Quick Guide for Investigators</w:t>
      </w:r>
      <w:bookmarkEnd w:id="31"/>
    </w:p>
    <w:p w14:paraId="6F5130F2" w14:textId="77777777" w:rsidR="00CF2C65" w:rsidRDefault="00EF3343">
      <w:r>
        <w:t xml:space="preserve">Investigators should approach online trafficking material with two questions in mind: what does this reveal about coercion and control, and what does it reveal about infrastructure and profit? The answer to the first question points toward safeguarding and victim contact strategy. The answer to the second points toward suspects, facilitators, and corroboration </w:t>
      </w:r>
      <w:r>
        <w:lastRenderedPageBreak/>
        <w:t>opportunities. Investigators should resist the temptation to focus only on the most visible or most disturbing content. Small traces such as repeated numbers, common pick-up points, domain registrations, accommodation patterns, or repeated administrative contacts may be more useful than dramatic imagery.</w:t>
      </w:r>
    </w:p>
    <w:p w14:paraId="18CF9459" w14:textId="77777777" w:rsidR="00CF2C65" w:rsidRDefault="00EF3343">
      <w:r>
        <w:t>In day-to-day practice, investigators should maintain close contact with analysts and prosecutors and should ensure that field activity is informed by the latest digital picture. Before operational intervention, they should confirm what digital content is still live, whether the target has recently relocated, what device strategy is planned, whether interpreters and victim-support personnel are available, and how immediate safeguarding will be delivered if presumed victims are encountered. After interventio</w:t>
      </w:r>
      <w:r>
        <w:t>n, they should rapidly exploit fresh device, document, and scene information to update the online map rather than treating the digital and physical parts of the case as separate files.</w:t>
      </w:r>
    </w:p>
    <w:p w14:paraId="6E7AEB7A" w14:textId="77777777" w:rsidR="00CF2C65" w:rsidRDefault="00EF3343">
      <w:r>
        <w:t>Investigators should also document negative findings. If a suspected account proves unrelated, if a contact number belongs to a third-party service, or if a supposed victim is in fact a different person than initially assumed, this should be recorded. Negative findings prevent circular suspicion and improve indicator quality over time.</w:t>
      </w:r>
    </w:p>
    <w:p w14:paraId="7CA89CA8" w14:textId="77777777" w:rsidR="00CF2C65" w:rsidRDefault="00EF3343">
      <w:pPr>
        <w:pStyle w:val="Titolo1"/>
      </w:pPr>
      <w:bookmarkStart w:id="32" w:name="_Toc229487774"/>
      <w:r>
        <w:t>Annex J. Role-Specific Quick Guide for Prosecutors and Investigative Judges</w:t>
      </w:r>
      <w:bookmarkEnd w:id="32"/>
    </w:p>
    <w:p w14:paraId="6B8EC440" w14:textId="77777777" w:rsidR="00CF2C65" w:rsidRDefault="00EF3343">
      <w:r>
        <w:t>Prosecutors and investigative judges play a central role in shaping lawful and effective digital anti-trafficking practice. Their early involvement is especially valuable where retention windows are short, platform responses are uncertain, device extractions may be contested, or multiple jurisdictions are likely to be involved. Early prosecutorial direction can focus collection on what is likely to matter later: control indicators, role allocation, evidence of profit, proof of movement, corroboration of vul</w:t>
      </w:r>
      <w:r>
        <w:t>nerability, and links between online and offline conduct.</w:t>
      </w:r>
    </w:p>
    <w:p w14:paraId="5F0BC8C1" w14:textId="77777777" w:rsidR="00CF2C65" w:rsidRDefault="00EF3343">
      <w:r>
        <w:t>Prosecutors should encourage case teams to articulate a clear evidential theory rather than gathering large volumes of digital material without discrimination. A useful test is to ask, for each proposed measure, what proposition it is meant to support or refute. This limits over-collection and supports proportionality. Prosecutors should also ensure that victim-support considerations are built into procedural planning. The question is not only whether a victim can be interviewed, but when, under what condit</w:t>
      </w:r>
      <w:r>
        <w:t>ions, with what support, and with what alternatives if the person is not able or willing to provide detailed evidence at that stage.</w:t>
      </w:r>
    </w:p>
    <w:p w14:paraId="6221778B" w14:textId="77777777" w:rsidR="00CF2C65" w:rsidRDefault="00EF3343">
      <w:r>
        <w:t xml:space="preserve">In cross-border matters, prosecutors should identify at an early point whether a case is likely to require Eurojust-style coordination, mutual legal assistance, joint investigation </w:t>
      </w:r>
      <w:r>
        <w:lastRenderedPageBreak/>
        <w:t>mechanisms, or parallel evidence-preservation requests. Waiting until the case is mature often means that key material has already been lost or local actions have already diverged.</w:t>
      </w:r>
    </w:p>
    <w:p w14:paraId="38F3EAC2" w14:textId="77777777" w:rsidR="00CF2C65" w:rsidRDefault="00EF3343">
      <w:pPr>
        <w:pStyle w:val="Titolo1"/>
      </w:pPr>
      <w:bookmarkStart w:id="33" w:name="_Toc229487775"/>
      <w:r>
        <w:t>Annex K. Role-Specific Quick Guide for NGOs, Outreach Units, and Social Services</w:t>
      </w:r>
      <w:bookmarkEnd w:id="33"/>
    </w:p>
    <w:p w14:paraId="0081F776" w14:textId="77777777" w:rsidR="00CF2C65" w:rsidRDefault="00EF3343">
      <w:r>
        <w:t>NGOs, outreach teams, and social services are often the first to understand how trafficking patterns are changing on the ground. Their observations should therefore be systematically integrated into the operating picture. This includes not only direct victim disclosures, but also repeated stories about recruitment channels, debts, transport routes, controlling intermediaries, accommodation conditions, or fear of specific online threats. When these observations are recorded in a structured but safe way, they</w:t>
      </w:r>
      <w:r>
        <w:t xml:space="preserve"> can strengthen both prevention and investigation.</w:t>
      </w:r>
    </w:p>
    <w:p w14:paraId="14FF1B53" w14:textId="77777777" w:rsidR="00CF2C65" w:rsidRDefault="00EF3343">
      <w:r>
        <w:t>At the same time, victim trust must remain central. The role of support actors is not to become informal intelligence gatherers. Instead, they should work within agreed boundaries that prioritise safety, informed choice, confidentiality, and transparency about what may need to be shared to protect a person or comply with law. Multi-agency arrangements should never place support actors in positions that compromise their relationship with survivors or communities.</w:t>
      </w:r>
    </w:p>
    <w:p w14:paraId="19C7EE23" w14:textId="77777777" w:rsidR="00CF2C65" w:rsidRDefault="00EF3343">
      <w:r>
        <w:t>Support actors also have an important role in campaign design. They can test whether messages are credible, whether language is likely to alienate, whether communication products could expose recipients to monitoring by traffickers, and whether referral pathways are genuinely accessible. A prevention campaign without this input can easily miss its audience or increase risk.</w:t>
      </w:r>
    </w:p>
    <w:p w14:paraId="26076F6C" w14:textId="77777777" w:rsidR="00CF2C65" w:rsidRDefault="00EF3343">
      <w:pPr>
        <w:pStyle w:val="Titolo1"/>
      </w:pPr>
      <w:bookmarkStart w:id="34" w:name="_Toc229487776"/>
      <w:r>
        <w:t>Annex L. Scenario Exercise: Online Recruitment to Cross-Border Labour Exploitation</w:t>
      </w:r>
      <w:bookmarkEnd w:id="34"/>
    </w:p>
    <w:p w14:paraId="064A54FF" w14:textId="77777777" w:rsidR="00CF2C65" w:rsidRDefault="00EF3343">
      <w:r>
        <w:t>Scenario summary: A municipal service and an NGO report an increase in social-media posts offering rapid employment in logistics and food-processing jobs abroad. The posts target newly arrived migrants and local economically vulnerable residents. Wages are high, accommodation is “guaranteed”, and travel is organised through a private contact in encrypted messaging. Within three weeks, two people separately approach a helpline describing unpaid work, crowded accommodation, document retention, and transport t</w:t>
      </w:r>
      <w:r>
        <w:t>o remote worksites. At the same time, an analyst identifies several linked accounts using the same recruitment text and the same contact number across different cities.</w:t>
      </w:r>
    </w:p>
    <w:p w14:paraId="6CAB72CB" w14:textId="77777777" w:rsidR="00CF2C65" w:rsidRDefault="00EF3343">
      <w:r>
        <w:lastRenderedPageBreak/>
        <w:t xml:space="preserve">Exercise objectives: test how the partnership records the first signal; assess whether digital content is preserved correctly; decide how safeguarding and intelligence tasks run in parallel; determine whether prosecutors are engaged early enough; and identify what private-sector partners may need to be contacted. Suggested injects during the exercise include: one account disappears; one victim fears family retaliation; a labour inspector reports a linked worksite; and a payment service flag is received for </w:t>
      </w:r>
      <w:r>
        <w:t>repeated transfers to a suspected organiser. Teams should conclude the exercise by drafting a short action plan, a safeguarding plan, and a list of evidence-preservation priorities.</w:t>
      </w:r>
    </w:p>
    <w:p w14:paraId="085FC821" w14:textId="77777777" w:rsidR="00CF2C65" w:rsidRDefault="00EF3343">
      <w:r>
        <w:t>Learning questions: Which indicators were decisive? Was the lead agency clear? How quickly was victim support activated? Did investigators and support actors understand each other’s constraints? Was there an early financial strategy? Which records would be sufficient if the case became formal within forty-eight hours? The exercise should end with concrete changes to SOPs, not with general observations only.</w:t>
      </w:r>
    </w:p>
    <w:p w14:paraId="5D8D44EC" w14:textId="77777777" w:rsidR="00CF2C65" w:rsidRDefault="00EF3343">
      <w:pPr>
        <w:pStyle w:val="Titolo1"/>
      </w:pPr>
      <w:bookmarkStart w:id="35" w:name="_Toc229487777"/>
      <w:r>
        <w:t>Annex M. Scenario Exercise: Online Advertisement and Mixed Sexual Exploitation Case</w:t>
      </w:r>
      <w:bookmarkEnd w:id="35"/>
    </w:p>
    <w:p w14:paraId="0F99EEA6" w14:textId="77777777" w:rsidR="00CF2C65" w:rsidRDefault="00EF3343">
      <w:r>
        <w:t>Scenario summary: Repeated online advertisements appear across three nearby cities using different names but the same images, a rotating set of phone numbers, and highly similar text. Prices change little across locations and the profile descriptions suggest unusual management control. An outreach NGO later meets a woman who reports being moved every few days, being told not to speak to clients without permission, and being threatened with the online release of intimate images. She also mentions another wom</w:t>
      </w:r>
      <w:r>
        <w:t>an forced to manage messages and appointments. A hotel manager has privately reported unusual short stays linked to the same numbers.</w:t>
      </w:r>
    </w:p>
    <w:p w14:paraId="1F6512C6" w14:textId="77777777" w:rsidR="00CF2C65" w:rsidRDefault="00EF3343">
      <w:r>
        <w:t>Exercise objectives: test integrated handling of advertisement analysis, victim safeguarding, hotel-sector engagement, and prosecutorial planning. Participants should map the online infrastructure, identify immediate protective steps, determine whether further monitoring is justified before intervention, and consider how to approach other possible victims. They should also discuss whether the person handling messages is a co-offender, a victim under coercion, or both, and how that affects the operational ap</w:t>
      </w:r>
      <w:r>
        <w:t>proach.</w:t>
      </w:r>
    </w:p>
    <w:p w14:paraId="038DFFD0" w14:textId="77777777" w:rsidR="00CF2C65" w:rsidRDefault="00EF3343">
      <w:r>
        <w:t>Learning questions: Did the team over-rely on the visible advert rather than the wider network? Were image comparison and text comparison used effectively? How did the team assess live risk? Was hotel information handled lawfully and proportionately? Did communication planning take account of privacy and the risk of alerting controllers?</w:t>
      </w:r>
    </w:p>
    <w:p w14:paraId="799B85C8" w14:textId="77777777" w:rsidR="00CF2C65" w:rsidRDefault="00EF3343">
      <w:pPr>
        <w:pStyle w:val="Titolo1"/>
      </w:pPr>
      <w:bookmarkStart w:id="36" w:name="_Toc229487778"/>
      <w:r>
        <w:lastRenderedPageBreak/>
        <w:t>Annex N. Sample Evidence-to-Action Log</w:t>
      </w:r>
      <w:bookmarkEnd w:id="36"/>
    </w:p>
    <w:p w14:paraId="5E6844D6" w14:textId="77777777" w:rsidR="00CF2C65" w:rsidRDefault="00EF3343">
      <w:r>
        <w:t>An evidence-to-action log helps teams show how information moved through the system and why decisions were taken. Suggested columns include: reference number; date/time; source item; collector; indicator category; immediate risk level; preservation method; reviewing officer; action decided; action owner; deadline; completion date; downstream output; and review note. The log should be usable during live operations, so it should remain concise. Excessively complex logs are not sustained in practice.</w:t>
      </w:r>
    </w:p>
    <w:p w14:paraId="6125B742" w14:textId="77777777" w:rsidR="00CF2C65" w:rsidRDefault="00EF3343">
      <w:r>
        <w:t>The value of such a log is twofold. First, it improves operational discipline and handover quality. Second, it creates an auditable record that is useful when reviewing whether thresholds were appropriate, whether delays occurred, and whether repeated indicators are being overlooked across cases. Teams should revisit the log format after the first few pilot cases to remove fields that add little value and strengthen fields that drive real decisions.</w:t>
      </w:r>
    </w:p>
    <w:p w14:paraId="7EF43FEE" w14:textId="77777777" w:rsidR="00CF2C65" w:rsidRDefault="00EF3343">
      <w:pPr>
        <w:pStyle w:val="Titolo1"/>
      </w:pPr>
      <w:bookmarkStart w:id="37" w:name="_Toc229487779"/>
      <w:r>
        <w:t>Annex O. Glossary of Working Terms for Multi-Agency Use</w:t>
      </w:r>
      <w:bookmarkEnd w:id="37"/>
    </w:p>
    <w:p w14:paraId="7B458F4F" w14:textId="77777777" w:rsidR="00CF2C65" w:rsidRDefault="00EF3343">
      <w:r>
        <w:t>For practical cooperation, partners should agree a short shared glossary. Suggested definitions include: signal – any item of information that may indicate exploitation, recruitment, advertisement, control, or related facilitation; presumed victim – a person for whom indicators justify protection-oriented action prior to or without formal identification; digital lead – an online or device-derived trace relevant to prevention, safeguarding, or investigation; infrastructure – the technical, financial, transpo</w:t>
      </w:r>
      <w:r>
        <w:t>rt, accommodation, identity, or service elements that enable trafficking activity; campaign – a planned communication intervention with a defined objective, target audience, channel set, and monitoring method; and case action team – the limited group of actors tasked with progressing a defined case or hotspot response.</w:t>
      </w:r>
    </w:p>
    <w:p w14:paraId="3697C1A9" w14:textId="77777777" w:rsidR="00CF2C65" w:rsidRDefault="00EF3343">
      <w:r>
        <w:t>Agencies should also clarify how they use terms such as intelligence, evidence, referral, safeguarding, deconfliction, hot content, emergency accommodation, coercion, position of vulnerability, and organised role. Ambiguous vocabulary creates friction, especially under time pressure. A one-page glossary agreed by partners is therefore a low-cost but high-value tool.</w:t>
      </w:r>
    </w:p>
    <w:p w14:paraId="76ED42E3" w14:textId="77777777" w:rsidR="00CF2C65" w:rsidRDefault="00EF3343">
      <w:pPr>
        <w:pStyle w:val="Titolo1"/>
      </w:pPr>
      <w:bookmarkStart w:id="38" w:name="_Toc229487780"/>
      <w:r>
        <w:t>Annex P. Cross-Border Cooperation Checklist</w:t>
      </w:r>
      <w:bookmarkEnd w:id="38"/>
    </w:p>
    <w:p w14:paraId="072BFE25" w14:textId="77777777" w:rsidR="00CF2C65" w:rsidRDefault="00EF3343">
      <w:r>
        <w:t xml:space="preserve">Cross-border cooperation should be considered early when any of the following are present: victims or suspects moving across borders; platforms or service providers located abroad; financial flows routed through foreign institutions; multiple advertising locations in different </w:t>
      </w:r>
      <w:r>
        <w:lastRenderedPageBreak/>
        <w:t>countries; or evidence likely to be stored outside the requesting jurisdiction. A checklist approach helps teams avoid late recognition of transnational complexity.</w:t>
      </w:r>
    </w:p>
    <w:p w14:paraId="3DC198B3" w14:textId="77777777" w:rsidR="00CF2C65" w:rsidRDefault="00EF3343">
      <w:r>
        <w:t>Suggested checklist: identify all relevant jurisdictions; define what must be preserved immediately; consult the prosecutor on the most suitable cooperation channel; identify whether parallel investigations may already exist; prepare concise case summaries for external counterparts; define what victim-protection issues require special handling in international exchanges; and log all outbound and inbound cooperation requests with dates and outcomes.</w:t>
      </w:r>
    </w:p>
    <w:p w14:paraId="470BDAE7" w14:textId="77777777" w:rsidR="00CF2C65" w:rsidRDefault="00EF3343">
      <w:r>
        <w:t>Operational teams should remember that international cooperation is not only a formal legal exercise. It is also a coordination exercise. Conflicting timings, different evidential standards, and different urgency levels can weaken impact if they are not anticipated. Where possible, teams should use coordination meetings to align arrest strategy, victim protection, disclosure timing, and media handling.</w:t>
      </w:r>
    </w:p>
    <w:p w14:paraId="2CD99B86" w14:textId="77777777" w:rsidR="00CF2C65" w:rsidRDefault="00EF3343">
      <w:pPr>
        <w:pStyle w:val="Titolo1"/>
      </w:pPr>
      <w:bookmarkStart w:id="39" w:name="_Toc229487781"/>
      <w:r>
        <w:t>Annex Q. Child Safeguarding and Age-Uncertainty Protocol</w:t>
      </w:r>
      <w:bookmarkEnd w:id="39"/>
    </w:p>
    <w:p w14:paraId="333021B9" w14:textId="77777777" w:rsidR="00CF2C65" w:rsidRDefault="00EF3343">
      <w:r>
        <w:t>Cases involving children or possible children require a distinct safeguarding posture. In online environments, age may be uncertain, misrepresented, or deliberately obscured. Where there is a reasonable possibility that a person is a child, teams should default to child-protection-sensitive handling until competent procedures clarify status. This means rapid safeguarding consultation, restricted circulation of images or personal data, and avoidance of interviewing styles or operational pressures that are un</w:t>
      </w:r>
      <w:r>
        <w:t>suitable for children.</w:t>
      </w:r>
    </w:p>
    <w:p w14:paraId="588A78F8" w14:textId="77777777" w:rsidR="00CF2C65" w:rsidRDefault="00EF3343">
      <w:r>
        <w:t>If online content suggests grooming, child sexual exploitation, or trafficking-related control of a minor, immediate protective measures should be considered alongside criminal measures. These may include referral to child-protection services, urgent platform reporting where lawful and appropriate, and rapid review of whether the child is currently reachable through school, health, asylum, social-care, or municipal systems. Multi-agency coordination is particularly important because fragments of the picture</w:t>
      </w:r>
      <w:r>
        <w:t xml:space="preserve"> may exist in different institutions that, taken alone, appear inconclusive.</w:t>
      </w:r>
    </w:p>
    <w:p w14:paraId="534F95DD" w14:textId="77777777" w:rsidR="00CF2C65" w:rsidRDefault="00EF3343">
      <w:r>
        <w:t>Training for teams handling age-uncertain cases should include communication with children, trauma-informed practice, use of intermediaries or specialised support persons where available, and heightened caution around publicity, image use, and digital evidence that could retraumatise or identify the child.</w:t>
      </w:r>
    </w:p>
    <w:p w14:paraId="2F351BF9" w14:textId="77777777" w:rsidR="00CF2C65" w:rsidRDefault="00EF3343">
      <w:pPr>
        <w:pStyle w:val="Titolo1"/>
      </w:pPr>
      <w:bookmarkStart w:id="40" w:name="_Toc229487782"/>
      <w:r>
        <w:lastRenderedPageBreak/>
        <w:t>Annex R. Media, Communication, and Public Information Protocol</w:t>
      </w:r>
      <w:bookmarkEnd w:id="40"/>
    </w:p>
    <w:p w14:paraId="237EED62" w14:textId="77777777" w:rsidR="00CF2C65" w:rsidRDefault="00EF3343">
      <w:r>
        <w:t>Trafficking cases often attract media attention, especially where online content, high-profile raids, organised networks, or child victims are involved. Poor media handling can expose victims, distort public understanding, prejudice proceedings, or undermine trust between agencies and civil society. The toolkit therefore recommends a simple public information protocol agreed in advance among partners.</w:t>
      </w:r>
    </w:p>
    <w:p w14:paraId="57659ED8" w14:textId="77777777" w:rsidR="00CF2C65" w:rsidRDefault="00EF3343">
      <w:r>
        <w:t>The protocol should specify who may speak publicly, what approval is required, how victim privacy will be protected, how ongoing operational sensitivity will be assessed, and how corrections will be handled if inaccurate reporting appears. Communication should use precise language. It should avoid sensational imagery, avoid implying consent where coercion indicators are present, and avoid publishing details that allow victims to be identified directly or indirectly.</w:t>
      </w:r>
    </w:p>
    <w:p w14:paraId="708BA0ED" w14:textId="77777777" w:rsidR="00CF2C65" w:rsidRDefault="00EF3343">
      <w:r>
        <w:t>Public communication also has a strategic side. Cases can generate learning opportunities for prevention campaigns, practitioner awareness, and demand reduction, but only if information is de-identified, contextualised, and timed appropriately. Teams should therefore build a habit of separating media pressure from strategic communication planning.</w:t>
      </w:r>
    </w:p>
    <w:p w14:paraId="37A9A9D8" w14:textId="77777777" w:rsidR="00CF2C65" w:rsidRDefault="00EF3343">
      <w:pPr>
        <w:pStyle w:val="Titolo1"/>
      </w:pPr>
      <w:bookmarkStart w:id="41" w:name="_Toc229487783"/>
      <w:r>
        <w:t>Annex S. Quality Assurance Checklist for Technology-Enabled Investigations</w:t>
      </w:r>
      <w:bookmarkEnd w:id="41"/>
    </w:p>
    <w:p w14:paraId="02E5A627" w14:textId="77777777" w:rsidR="00CF2C65" w:rsidRDefault="00EF3343">
      <w:r>
        <w:t>Technology-enabled investigations require quality assurance at multiple points: collection, extraction, analysis, reporting, disclosure, and storage. Suggested checks include: was the operator competent and authorised; was the tool version recorded; were collection steps reproducible and documented; were translations or analytical assumptions clearly marked as such; were original files preserved intact; and were results peer-reviewed where the case is significant or technically complex?</w:t>
      </w:r>
    </w:p>
    <w:p w14:paraId="3F23E21C" w14:textId="77777777" w:rsidR="00CF2C65" w:rsidRDefault="00EF3343">
      <w:r>
        <w:t>Where device or platform extraction is used, quality assurance should also cover scope management. Teams should ask whether the material gathered was relevant and proportionate, whether privileged or unrelated sensitive material was segregated according to law and procedure, and whether disclosure obligations are understood by the investigative team. Quality assurance is not only about scientific defensibility; it is also about fairness and legality.</w:t>
      </w:r>
    </w:p>
    <w:p w14:paraId="5EA63200" w14:textId="77777777" w:rsidR="00CF2C65" w:rsidRDefault="00EF3343">
      <w:r>
        <w:t>For pilot implementation, one practical solution is a monthly case-sampling exercise in which a supervisor and a technical peer review one recent digital case file using a common checklist. Findings should feed directly into refresher training and SOP updates.</w:t>
      </w:r>
    </w:p>
    <w:p w14:paraId="28D91513" w14:textId="77777777" w:rsidR="00CF2C65" w:rsidRDefault="00EF3343">
      <w:pPr>
        <w:pStyle w:val="Titolo1"/>
      </w:pPr>
      <w:bookmarkStart w:id="42" w:name="_Toc229487784"/>
      <w:r>
        <w:lastRenderedPageBreak/>
        <w:t>Annex T. Sample Quarterly Review Agenda</w:t>
      </w:r>
      <w:bookmarkEnd w:id="42"/>
    </w:p>
    <w:p w14:paraId="2B0A4309" w14:textId="77777777" w:rsidR="00CF2C65" w:rsidRDefault="00EF3343">
      <w:r>
        <w:t>Quarterly reviews should go beyond statistics. A strong agenda might include: overview of signals and case patterns; review of safeguarding timeliness; review of cross-border issues; assessment of equipment use and technical barriers; summary of campaign activity and lessons; review of partner participation and attendance; review of information-sharing or privacy incidents; and agreement on what procedures or indicators need updating.</w:t>
      </w:r>
    </w:p>
    <w:p w14:paraId="43BA6E89" w14:textId="77777777" w:rsidR="00CF2C65" w:rsidRDefault="00EF3343">
      <w:r>
        <w:t>The review should end with three outputs only: actions, owners, and deadlines. Too many learning forums produce interesting discussion but weak follow-through. A short written review note should then be circulated to participating organisations and retained in the partnership record system.</w:t>
      </w:r>
    </w:p>
    <w:p w14:paraId="622F556F" w14:textId="77777777" w:rsidR="00CF2C65" w:rsidRDefault="00EF3343">
      <w:pPr>
        <w:pStyle w:val="Titolo1"/>
      </w:pPr>
      <w:bookmarkStart w:id="43" w:name="_Toc229487785"/>
      <w:r>
        <w:t>Annex U. Minimum Documentation Pack for Each Pilot Case</w:t>
      </w:r>
      <w:bookmarkEnd w:id="43"/>
    </w:p>
    <w:p w14:paraId="4CED7118" w14:textId="77777777" w:rsidR="00CF2C65" w:rsidRDefault="00EF3343">
      <w:r>
        <w:t>For consistency across pilots, each case should ideally contain a minimum documentation pack. This pack may be adapted to local systems, but it should normally include: the first-signal record; the triage decision; the preservation note for digital content; the safeguarding/referral record where relevant; the tasking log; a short case theory note; the financial-enquiry note if applicable; and the review note explaining outcome and lessons. Standardisation at this level makes later comparison and transferabi</w:t>
      </w:r>
      <w:r>
        <w:t>lity much easier.</w:t>
      </w:r>
    </w:p>
    <w:p w14:paraId="4C188387" w14:textId="77777777" w:rsidR="00CF2C65" w:rsidRDefault="00EF3343">
      <w:r>
        <w:t>The pack should be light enough to sustain operational use, yet structured enough that a new supervisor or partner can understand what happened without reconstructing the case from scattered emails or informal messages. For project reporting, anonymised versions of these packs can also support evidence-based learning across sites.</w:t>
      </w:r>
    </w:p>
    <w:p w14:paraId="1C539214" w14:textId="77777777" w:rsidR="00CF2C65" w:rsidRDefault="00EF3343">
      <w:pPr>
        <w:pStyle w:val="Titolo1"/>
      </w:pPr>
      <w:bookmarkStart w:id="44" w:name="_Toc229487786"/>
      <w:r>
        <w:t>Closing Note</w:t>
      </w:r>
      <w:bookmarkEnd w:id="44"/>
    </w:p>
    <w:p w14:paraId="4D17CA61" w14:textId="77777777" w:rsidR="00CF2C65" w:rsidRDefault="00EF3343">
      <w:r>
        <w:t>A multi-agency toolkit is valuable only when it is used repeatedly, reviewed honestly, and adapted to changing offender behaviour. The digital dimension of trafficking will continue to evolve. The safest response is not a static list of tools, but a disciplined operating model that links digital detection, legal process, human judgement, and victim protection. INTERCEPTED provides an opportunity to build that model in practice.</w:t>
      </w:r>
    </w:p>
    <w:sectPr w:rsidR="00CF2C65" w:rsidSect="00034616">
      <w:footerReference w:type="default" r:id="rId8"/>
      <w:pgSz w:w="12240" w:h="15840"/>
      <w:pgMar w:top="1152"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59045" w14:textId="77777777" w:rsidR="00EF3343" w:rsidRDefault="00EF3343">
      <w:pPr>
        <w:spacing w:after="0" w:line="240" w:lineRule="auto"/>
      </w:pPr>
      <w:r>
        <w:separator/>
      </w:r>
    </w:p>
  </w:endnote>
  <w:endnote w:type="continuationSeparator" w:id="0">
    <w:p w14:paraId="57954491" w14:textId="77777777" w:rsidR="00EF3343" w:rsidRDefault="00EF3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629AB" w14:textId="77777777" w:rsidR="00CF2C65" w:rsidRDefault="00EF3343">
    <w:pPr>
      <w:pStyle w:val="Pidipagina"/>
      <w:jc w:val="center"/>
    </w:pPr>
    <w:r>
      <w:t xml:space="preserve">INTERCEPTED Multi-Agency Toolkit - Page </w:t>
    </w:r>
    <w:r>
      <w:fldChar w:fldCharType="begin"/>
    </w:r>
    <w:r>
      <w:instrText xml:space="preserve"> PAGE </w:instrText>
    </w:r>
    <w:r w:rsidR="00CE7A7B">
      <w:fldChar w:fldCharType="separate"/>
    </w:r>
    <w:r w:rsidR="00CE7A7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7365D" w14:textId="77777777" w:rsidR="00EF3343" w:rsidRDefault="00EF3343">
      <w:pPr>
        <w:spacing w:after="0" w:line="240" w:lineRule="auto"/>
      </w:pPr>
      <w:r>
        <w:separator/>
      </w:r>
    </w:p>
  </w:footnote>
  <w:footnote w:type="continuationSeparator" w:id="0">
    <w:p w14:paraId="5652EC22" w14:textId="77777777" w:rsidR="00EF3343" w:rsidRDefault="00EF33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916087175">
    <w:abstractNumId w:val="8"/>
  </w:num>
  <w:num w:numId="2" w16cid:durableId="675573347">
    <w:abstractNumId w:val="6"/>
  </w:num>
  <w:num w:numId="3" w16cid:durableId="681052316">
    <w:abstractNumId w:val="5"/>
  </w:num>
  <w:num w:numId="4" w16cid:durableId="1373531860">
    <w:abstractNumId w:val="4"/>
  </w:num>
  <w:num w:numId="5" w16cid:durableId="527717093">
    <w:abstractNumId w:val="7"/>
  </w:num>
  <w:num w:numId="6" w16cid:durableId="782456791">
    <w:abstractNumId w:val="3"/>
  </w:num>
  <w:num w:numId="7" w16cid:durableId="443305346">
    <w:abstractNumId w:val="2"/>
  </w:num>
  <w:num w:numId="8" w16cid:durableId="1817722229">
    <w:abstractNumId w:val="1"/>
  </w:num>
  <w:num w:numId="9" w16cid:durableId="1553228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9E3CBD"/>
    <w:rsid w:val="00AA1D8D"/>
    <w:rsid w:val="00B47730"/>
    <w:rsid w:val="00BF612E"/>
    <w:rsid w:val="00CB0664"/>
    <w:rsid w:val="00CE7A7B"/>
    <w:rsid w:val="00CF2C65"/>
    <w:rsid w:val="00EF334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6D900D"/>
  <w14:defaultImageDpi w14:val="300"/>
  <w15:docId w15:val="{920E47C3-9B61-4A15-8FA5-4F72C2C9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pPr>
      <w:spacing w:after="120" w:line="300" w:lineRule="auto"/>
    </w:pPr>
    <w:rPr>
      <w:rFonts w:ascii="Aptos" w:hAnsi="Aptos"/>
      <w:sz w:val="24"/>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0F4C81"/>
      <w:sz w:val="32"/>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1F1F1F"/>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0F4C81"/>
      <w:sz w:val="22"/>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0F4C81"/>
      <w:spacing w:val="5"/>
      <w:kern w:val="28"/>
      <w:sz w:val="48"/>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666666"/>
      <w:spacing w:val="15"/>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ind w:left="360"/>
      <w:contextualSpacing/>
    </w:pPr>
  </w:style>
  <w:style w:type="paragraph" w:styleId="Elencocontinua2">
    <w:name w:val="List Continue 2"/>
    <w:basedOn w:val="Normale"/>
    <w:uiPriority w:val="99"/>
    <w:unhideWhenUsed/>
    <w:rsid w:val="0029639D"/>
    <w:pPr>
      <w:ind w:left="720"/>
      <w:contextualSpacing/>
    </w:pPr>
  </w:style>
  <w:style w:type="paragraph" w:styleId="Elencocontinua3">
    <w:name w:val="List Continue 3"/>
    <w:basedOn w:val="Normale"/>
    <w:uiPriority w:val="99"/>
    <w:unhideWhenUsed/>
    <w:rsid w:val="0029639D"/>
    <w:pPr>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ommario1">
    <w:name w:val="toc 1"/>
    <w:basedOn w:val="Normale"/>
    <w:next w:val="Normale"/>
    <w:autoRedefine/>
    <w:uiPriority w:val="39"/>
    <w:unhideWhenUsed/>
    <w:rsid w:val="00BF612E"/>
    <w:pPr>
      <w:spacing w:after="100"/>
    </w:pPr>
  </w:style>
  <w:style w:type="character" w:styleId="Collegamentoipertestuale">
    <w:name w:val="Hyperlink"/>
    <w:basedOn w:val="Carpredefinitoparagrafo"/>
    <w:uiPriority w:val="99"/>
    <w:unhideWhenUsed/>
    <w:rsid w:val="00BF61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3F4F71CC0B547D4FB5519EC75C381245" ma:contentTypeVersion="18" ma:contentTypeDescription="Creare un nuovo documento." ma:contentTypeScope="" ma:versionID="adb560ac640c5ef48afccd491ec87e6b">
  <xsd:schema xmlns:xsd="http://www.w3.org/2001/XMLSchema" xmlns:xs="http://www.w3.org/2001/XMLSchema" xmlns:p="http://schemas.microsoft.com/office/2006/metadata/properties" xmlns:ns2="8efe0f43-f453-447c-b8d7-469576ff3c6d" xmlns:ns3="00499f7b-7b08-46cf-aaa2-679c549b8431" targetNamespace="http://schemas.microsoft.com/office/2006/metadata/properties" ma:root="true" ma:fieldsID="5921ef057d5670ca7991d191c60b0d7d" ns2:_="" ns3:_="">
    <xsd:import namespace="8efe0f43-f453-447c-b8d7-469576ff3c6d"/>
    <xsd:import namespace="00499f7b-7b08-46cf-aaa2-679c549b84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e0f43-f453-447c-b8d7-469576ff3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dd801582-9bc8-472c-ad2a-3df581f058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99f7b-7b08-46cf-aaa2-679c549b8431"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f6843553-b5de-4ae5-bc0a-3c9b198246a7}" ma:internalName="TaxCatchAll" ma:showField="CatchAllData" ma:web="00499f7b-7b08-46cf-aaa2-679c549b8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0499f7b-7b08-46cf-aaa2-679c549b8431" xsi:nil="true"/>
    <lcf76f155ced4ddcb4097134ff3c332f xmlns="8efe0f43-f453-447c-b8d7-469576ff3c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09E4B25A-7521-4AA0-8051-AC67625CCBB2}"/>
</file>

<file path=customXml/itemProps3.xml><?xml version="1.0" encoding="utf-8"?>
<ds:datastoreItem xmlns:ds="http://schemas.openxmlformats.org/officeDocument/2006/customXml" ds:itemID="{C466DE78-B8EB-4755-9A78-73B20DB66E07}"/>
</file>

<file path=customXml/itemProps4.xml><?xml version="1.0" encoding="utf-8"?>
<ds:datastoreItem xmlns:ds="http://schemas.openxmlformats.org/officeDocument/2006/customXml" ds:itemID="{4CF44F06-621B-45B0-9E89-E92D11F783EB}"/>
</file>

<file path=docProps/app.xml><?xml version="1.0" encoding="utf-8"?>
<Properties xmlns="http://schemas.openxmlformats.org/officeDocument/2006/extended-properties" xmlns:vt="http://schemas.openxmlformats.org/officeDocument/2006/docPropsVTypes">
  <Template>Normal</Template>
  <TotalTime>9</TotalTime>
  <Pages>34</Pages>
  <Words>11204</Words>
  <Characters>63867</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Sergio Bianchi</cp:lastModifiedBy>
  <cp:revision>3</cp:revision>
  <dcterms:created xsi:type="dcterms:W3CDTF">2026-05-12T12:15:00Z</dcterms:created>
  <dcterms:modified xsi:type="dcterms:W3CDTF">2026-05-12T12:16:00Z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0x0101003F4F71CC0B547D4FB5519EC75C381245</vt:lpwstr>
  </property>
</Properties>
</file>